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0" w:hanging="0"/>
        <w:jc w:val="right"/>
        <w:rPr>
          <w:rFonts w:ascii="Times New Roman" w:hAnsi="Times New Roman" w:cs="Times New Roman"/>
          <w:sz w:val="20"/>
          <w:szCs w:val="20"/>
        </w:rPr>
      </w:pPr>
      <w:r>
        <w:rPr>
          <w:rFonts w:cs="Times New Roman" w:ascii="Times New Roman" w:hAnsi="Times New Roman"/>
          <w:sz w:val="20"/>
          <w:szCs w:val="20"/>
        </w:rPr>
        <w:t>Załącznik Nr 3 do zarządzenia nr 488/21Wójta Gminy Nowa Ruda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0" w:hanging="0"/>
        <w:jc w:val="right"/>
        <w:rPr>
          <w:rFonts w:ascii="Times New Roman" w:hAnsi="Times New Roman" w:cs="Times New Roman"/>
          <w:sz w:val="20"/>
          <w:szCs w:val="20"/>
        </w:rPr>
      </w:pPr>
      <w:r>
        <w:rPr>
          <w:rFonts w:cs="Times New Roman" w:ascii="Times New Roman" w:hAnsi="Times New Roman"/>
          <w:sz w:val="20"/>
          <w:szCs w:val="20"/>
        </w:rPr>
        <w:t>z dnia 30 września 2021  roku</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0" w:hanging="0"/>
        <w:jc w:val="center"/>
        <w:rPr>
          <w:rFonts w:ascii="Times New Roman" w:hAnsi="Times New Roman" w:cs="Times New Roman"/>
          <w:sz w:val="20"/>
          <w:szCs w:val="20"/>
        </w:rPr>
      </w:pPr>
      <w:r>
        <w:rPr>
          <w:rFonts w:cs="Times New Roman" w:ascii="Times New Roman" w:hAnsi="Times New Roman"/>
          <w:sz w:val="20"/>
          <w:szCs w:val="2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0" w:hanging="0"/>
        <w:jc w:val="center"/>
        <w:rPr>
          <w:rFonts w:ascii="Times New Roman" w:hAnsi="Times New Roman" w:cs="Times New Roman"/>
          <w:b/>
          <w:b/>
          <w:bCs/>
          <w:sz w:val="24"/>
          <w:szCs w:val="24"/>
        </w:rPr>
      </w:pPr>
      <w:r>
        <w:rPr>
          <w:rFonts w:cs="Times New Roman" w:ascii="Times New Roman" w:hAnsi="Times New Roman"/>
          <w:b/>
          <w:bCs/>
          <w:sz w:val="24"/>
          <w:szCs w:val="24"/>
        </w:rPr>
        <w:t>Objaśnienia do Wieloletniej Prognozy Finansowej</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0" w:hanging="0"/>
        <w:jc w:val="center"/>
        <w:rPr>
          <w:rFonts w:ascii="Times New Roman" w:hAnsi="Times New Roman" w:cs="Times New Roman"/>
          <w:b/>
          <w:b/>
          <w:bCs/>
          <w:sz w:val="24"/>
          <w:szCs w:val="24"/>
        </w:rPr>
      </w:pPr>
      <w:r>
        <w:rPr>
          <w:rFonts w:cs="Times New Roman" w:ascii="Times New Roman" w:hAnsi="Times New Roman"/>
          <w:b/>
          <w:bCs/>
          <w:sz w:val="24"/>
          <w:szCs w:val="24"/>
        </w:rPr>
        <w:t>Gminy Nowa Ruda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left"/>
        <w:rPr>
          <w:rFonts w:ascii="Times New Roman" w:hAnsi="Times New Roman" w:cs="Times New Roman"/>
          <w:sz w:val="20"/>
          <w:szCs w:val="20"/>
        </w:rPr>
      </w:pPr>
      <w:r>
        <w:rPr>
          <w:rFonts w:cs="Times New Roman" w:ascii="Times New Roman" w:hAnsi="Times New Roman"/>
          <w:sz w:val="20"/>
          <w:szCs w:val="2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Ustawa z dnia 27 sierpnia 2009 roku o finansach publicznych wprowadziła obowiązek opracowania Wieloletniej Prognozy Finansowej jednostek samorządu terytorialnego. Wieloletnia Prognoza Finansowa sporządzona jest na okres, na który zaciągnięto lub zamierza się zaciągnąć zobowiązania. Tak długa prognoza finansowa dla Gminy Nowa Ruda wynika ze spłaty pożyczek oraz wykupu  emisji obligacji  komunalnych. Wysokość planowanych zobowiązań, nie stanowi zagrożenia w  spełnieniu zasady zawartej w art. 243 ustawy o finansach publicznych</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Do celów opracowania prognozy na rok 2021 przeprowadzono analizę dochodów i wydatków w latach 2018-2020.</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 xml:space="preserve">Przy opracowywaniu Wieloletniej Prognozy Finansowej Gminy Nowa Ruda wzięto pod uwagę dane historyczne oraz prognozy wskaźnika PKB określonych w dokumencie przygotowanym przez Ministra Finansów pn.: „Wytyczne dotyczące stosowania jednolitych wskaźników makroekonomicznych będących podstawą oszacowania skutków finansowych projektowanych ustaw.  Aktualizacja – lipiec 2020 r.”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Jednym z wyznaczników prognozy wysokości dochodów bieżących na lata 2021-2030 był wskaźnik wzrostu PKB, a wydatków bieżących był wskaźnik cen towarów i usług konsumpcyjnych CPI:</w:t>
      </w:r>
    </w:p>
    <w:tbl>
      <w:tblPr>
        <w:tblW w:w="9072"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843"/>
        <w:gridCol w:w="708"/>
        <w:gridCol w:w="710"/>
        <w:gridCol w:w="708"/>
        <w:gridCol w:w="709"/>
        <w:gridCol w:w="708"/>
        <w:gridCol w:w="710"/>
        <w:gridCol w:w="708"/>
        <w:gridCol w:w="850"/>
        <w:gridCol w:w="710"/>
        <w:gridCol w:w="706"/>
      </w:tblGrid>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Wyszczególnienie</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i/>
                <w:i/>
                <w:iCs/>
                <w:sz w:val="20"/>
                <w:szCs w:val="20"/>
              </w:rPr>
            </w:pPr>
            <w:r>
              <w:rPr>
                <w:rFonts w:cs="Times New Roman" w:ascii="Times New Roman" w:hAnsi="Times New Roman"/>
                <w:sz w:val="20"/>
                <w:szCs w:val="20"/>
              </w:rPr>
              <w:t>(</w:t>
            </w:r>
            <w:r>
              <w:rPr>
                <w:rFonts w:cs="Times New Roman" w:ascii="Times New Roman" w:hAnsi="Times New Roman"/>
                <w:i/>
                <w:iCs/>
                <w:sz w:val="20"/>
                <w:szCs w:val="20"/>
              </w:rPr>
              <w:t>prognoza)</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2021</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2022</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2023</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2024</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2025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2026</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2027</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2028</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2029</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2030</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Wskaźnik PKB (%)</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101,4</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102,2</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102,4</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102,5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103,0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103,1</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103,1</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103,0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102,8</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102,8</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Wskaźnik CPI (%)</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101,8</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102,2</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102,4</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102,5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102,5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102,5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102,5</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102,5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102,5</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center"/>
              <w:rPr>
                <w:rFonts w:ascii="Times New Roman" w:hAnsi="Times New Roman" w:cs="Times New Roman"/>
                <w:sz w:val="20"/>
                <w:szCs w:val="20"/>
              </w:rPr>
            </w:pPr>
            <w:r>
              <w:rPr>
                <w:rFonts w:cs="Times New Roman" w:ascii="Times New Roman" w:hAnsi="Times New Roman"/>
                <w:sz w:val="20"/>
                <w:szCs w:val="20"/>
              </w:rPr>
              <w:t>102,5</w:t>
            </w:r>
          </w:p>
        </w:tc>
      </w:tr>
    </w:tbl>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Niemniej jednak przy prognozowaniu wielkości dochodów i wydatków wzięto pod uwagę inne czynniki mające wpływ na poziom szacowanych kwot, ta</w:t>
      </w:r>
      <w:bookmarkStart w:id="0" w:name="_GoBack"/>
      <w:bookmarkEnd w:id="0"/>
      <w:r>
        <w:rPr>
          <w:rFonts w:cs="Times New Roman" w:ascii="Times New Roman" w:hAnsi="Times New Roman"/>
          <w:sz w:val="20"/>
          <w:szCs w:val="20"/>
        </w:rPr>
        <w:t>kie jak: sytuacja gospodarcza regionu, tendencja spadkowa w zakresie przyrostu naturalnego oraz zmniejszająca się ludność zamieszkująca teren gminy.</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 xml:space="preserve">Wieloletnia Prognoza Finansowa zawiera 3 załączniki.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Załącznik Nr 1 Wieloletniej Prognozy Finansowej przedstawia dane finansowe zawierające informację o kształtowaniu się najważniejszych składowych budżetu (dochody, wydatki, rozchody i przychody), jak również informacje o wysokości zadłużenia gminy.</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 xml:space="preserve">Przedstawione wartości za lata 2015-2020 wynikają z realizacji budżetu.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b/>
          <w:b/>
          <w:bCs/>
          <w:sz w:val="20"/>
          <w:szCs w:val="20"/>
          <w:u w:val="single"/>
        </w:rPr>
      </w:pPr>
      <w:r>
        <w:rPr>
          <w:rFonts w:cs="Times New Roman" w:ascii="Times New Roman" w:hAnsi="Times New Roman"/>
          <w:b/>
          <w:bCs/>
          <w:sz w:val="20"/>
          <w:szCs w:val="20"/>
          <w:u w:val="single"/>
        </w:rPr>
        <w:t>DOCHODY</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Dochody ogółem wyniosły w poszczególnych latach:</w:t>
      </w:r>
    </w:p>
    <w:p>
      <w:pPr>
        <w:pStyle w:val="Normal"/>
        <w:numPr>
          <w:ilvl w:val="0"/>
          <w:numId w:val="1"/>
        </w:numPr>
        <w:tabs>
          <w:tab w:val="clear" w:pos="708"/>
          <w:tab w:val="left" w:pos="360" w:leader="none"/>
          <w:tab w:val="left" w:pos="71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2015 – 38 876 085,42 zł i były one większe o 7,00 %. w stosunku do roku 2014</w:t>
      </w:r>
    </w:p>
    <w:p>
      <w:pPr>
        <w:pStyle w:val="Normal"/>
        <w:numPr>
          <w:ilvl w:val="0"/>
          <w:numId w:val="1"/>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2016 – 43 483 239,77 zł i były one większe 11,85% w stosunku do roku 2015,</w:t>
      </w:r>
    </w:p>
    <w:p>
      <w:pPr>
        <w:pStyle w:val="Normal"/>
        <w:numPr>
          <w:ilvl w:val="0"/>
          <w:numId w:val="1"/>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2017 – 52 803 159,95 zł i były one większe 21,43% w stosunku do roku 2016</w:t>
      </w:r>
    </w:p>
    <w:p>
      <w:pPr>
        <w:pStyle w:val="Normal"/>
        <w:numPr>
          <w:ilvl w:val="0"/>
          <w:numId w:val="1"/>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2018 – 59 558 768,33 zł i  były one większe 12,79% w stosunku do roku 2017</w:t>
      </w:r>
    </w:p>
    <w:p>
      <w:pPr>
        <w:pStyle w:val="Normal"/>
        <w:numPr>
          <w:ilvl w:val="0"/>
          <w:numId w:val="1"/>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2019 – 61 852 075,86 zł – i  były one większe 3,86% w stosunku do roku 2018</w:t>
      </w:r>
    </w:p>
    <w:p>
      <w:pPr>
        <w:pStyle w:val="Normal"/>
        <w:numPr>
          <w:ilvl w:val="0"/>
          <w:numId w:val="1"/>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2020 – 62 978 173,30 zł – i  były one większe 1,44% w stosunku do roku 2019</w:t>
      </w:r>
    </w:p>
    <w:p>
      <w:pPr>
        <w:pStyle w:val="Normal"/>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360" w:hanging="0"/>
        <w:rPr>
          <w:rFonts w:ascii="Times New Roman" w:hAnsi="Times New Roman" w:cs="Times New Roman"/>
          <w:sz w:val="20"/>
          <w:szCs w:val="20"/>
        </w:rPr>
      </w:pPr>
      <w:r>
        <w:rPr>
          <w:rFonts w:cs="Times New Roman" w:ascii="Times New Roman" w:hAnsi="Times New Roman"/>
          <w:sz w:val="20"/>
          <w:szCs w:val="20"/>
        </w:rPr>
        <w:t>W ramach dochodów ogółem, dochody bieżące wyniosły w poszczególnych latach:</w:t>
      </w:r>
    </w:p>
    <w:p>
      <w:pPr>
        <w:pStyle w:val="Normal"/>
        <w:numPr>
          <w:ilvl w:val="0"/>
          <w:numId w:val="1"/>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2015 – 35 092 804,09 zł  o 2,51 % więcej niż w 2014 r.</w:t>
      </w:r>
    </w:p>
    <w:p>
      <w:pPr>
        <w:pStyle w:val="Normal"/>
        <w:numPr>
          <w:ilvl w:val="0"/>
          <w:numId w:val="1"/>
        </w:numPr>
        <w:tabs>
          <w:tab w:val="clear" w:pos="708"/>
          <w:tab w:val="left" w:pos="360" w:leader="none"/>
          <w:tab w:val="left" w:pos="71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2016 – 40 937 982,60 zł – i były większe o 11,66 zł niż w roku 2015 r,</w:t>
      </w:r>
    </w:p>
    <w:p>
      <w:pPr>
        <w:pStyle w:val="Normal"/>
        <w:numPr>
          <w:ilvl w:val="0"/>
          <w:numId w:val="1"/>
        </w:numPr>
        <w:tabs>
          <w:tab w:val="clear" w:pos="708"/>
          <w:tab w:val="left" w:pos="360" w:leader="none"/>
          <w:tab w:val="left" w:pos="71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2017 – 44 697 603,95 zł i były one większe 9,18 % w stosunku do roku 2016</w:t>
      </w:r>
    </w:p>
    <w:p>
      <w:pPr>
        <w:pStyle w:val="Normal"/>
        <w:numPr>
          <w:ilvl w:val="0"/>
          <w:numId w:val="1"/>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2018 – 46 572 482,90 zł i  były one większe 4,19% w stosunku do roku 2017</w:t>
      </w:r>
    </w:p>
    <w:p>
      <w:pPr>
        <w:pStyle w:val="Normal"/>
        <w:numPr>
          <w:ilvl w:val="0"/>
          <w:numId w:val="1"/>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2019 – 50 622 352,30 zł – i  były one większe 8,70% w stosunku do roku 2018</w:t>
      </w:r>
    </w:p>
    <w:p>
      <w:pPr>
        <w:pStyle w:val="Normal"/>
        <w:numPr>
          <w:ilvl w:val="0"/>
          <w:numId w:val="1"/>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2020 – 54 070 350,95 zł- i  były one większe 6,34% w stosunku do roku 2019</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Dochody majątkowe w poszczególnych latach wyniosły:</w:t>
      </w:r>
    </w:p>
    <w:p>
      <w:pPr>
        <w:pStyle w:val="Normal"/>
        <w:numPr>
          <w:ilvl w:val="0"/>
          <w:numId w:val="1"/>
        </w:numPr>
        <w:tabs>
          <w:tab w:val="clear" w:pos="708"/>
          <w:tab w:val="left" w:pos="360" w:leader="none"/>
          <w:tab w:val="left" w:pos="71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 xml:space="preserve">Rok 2015 – 3 783 281,33 zł –80,35% więcej niż w roku 2014, w tym ze sprzedaży majątku  kwotę      </w:t>
      </w:r>
    </w:p>
    <w:p>
      <w:pPr>
        <w:pStyle w:val="Normal"/>
        <w:tabs>
          <w:tab w:val="clear" w:pos="708"/>
          <w:tab w:val="left" w:pos="360" w:leader="none"/>
          <w:tab w:val="left" w:pos="473" w:leader="none"/>
          <w:tab w:val="left" w:pos="71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ind w:left="473"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900 028,00 zł.</w:t>
      </w:r>
    </w:p>
    <w:p>
      <w:pPr>
        <w:pStyle w:val="Normal"/>
        <w:numPr>
          <w:ilvl w:val="0"/>
          <w:numId w:val="1"/>
        </w:numPr>
        <w:tabs>
          <w:tab w:val="clear" w:pos="708"/>
          <w:tab w:val="left" w:pos="360" w:leader="none"/>
          <w:tab w:val="left" w:pos="71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 xml:space="preserve">Rok 2016 – 2 545 257,17 zł – 32,71% mniej niż w roku 2015, w tym ze sprzedaży majątku  kwotę      </w:t>
      </w:r>
    </w:p>
    <w:p>
      <w:pPr>
        <w:pStyle w:val="Normal"/>
        <w:tabs>
          <w:tab w:val="clear" w:pos="708"/>
          <w:tab w:val="left" w:pos="360" w:leader="none"/>
          <w:tab w:val="left" w:pos="473" w:leader="none"/>
          <w:tab w:val="left" w:pos="71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ind w:left="473"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760 084,75 zł.</w:t>
      </w:r>
    </w:p>
    <w:p>
      <w:pPr>
        <w:pStyle w:val="Normal"/>
        <w:numPr>
          <w:ilvl w:val="0"/>
          <w:numId w:val="1"/>
        </w:numPr>
        <w:tabs>
          <w:tab w:val="clear" w:pos="708"/>
          <w:tab w:val="left" w:pos="360" w:leader="none"/>
          <w:tab w:val="left" w:pos="71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 xml:space="preserve">Rok 2017 – 8 105 556,00 zł, 318,46% więcej niż w roku 2015, w tym ze sprzedaży majątku kwotę </w:t>
      </w:r>
    </w:p>
    <w:p>
      <w:pPr>
        <w:pStyle w:val="Normal"/>
        <w:tabs>
          <w:tab w:val="clear" w:pos="708"/>
          <w:tab w:val="left" w:pos="360" w:leader="none"/>
          <w:tab w:val="left" w:pos="473" w:leader="none"/>
          <w:tab w:val="left" w:pos="71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ind w:left="473" w:hanging="0"/>
        <w:rPr>
          <w:rFonts w:ascii="Times New Roman" w:hAnsi="Times New Roman" w:cs="Times New Roman"/>
          <w:sz w:val="20"/>
          <w:szCs w:val="20"/>
        </w:rPr>
      </w:pPr>
      <w:r>
        <w:rPr>
          <w:rFonts w:cs="Times New Roman" w:ascii="Times New Roman" w:hAnsi="Times New Roman"/>
          <w:sz w:val="20"/>
          <w:szCs w:val="20"/>
        </w:rPr>
        <w:tab/>
        <w:t>901 530,45 zł</w:t>
      </w:r>
    </w:p>
    <w:p>
      <w:pPr>
        <w:pStyle w:val="Normal"/>
        <w:numPr>
          <w:ilvl w:val="0"/>
          <w:numId w:val="1"/>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2018 – 12 986 285,43 zł i  były one większe 60,21 % w stosunku do roku 2017</w:t>
      </w:r>
    </w:p>
    <w:p>
      <w:pPr>
        <w:pStyle w:val="Normal"/>
        <w:numPr>
          <w:ilvl w:val="0"/>
          <w:numId w:val="1"/>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2019 – 11 229 723,56 zł –  i były one mniejsze 13,52% w stosunku do roku 2018</w:t>
      </w:r>
    </w:p>
    <w:p>
      <w:pPr>
        <w:pStyle w:val="Normal"/>
        <w:numPr>
          <w:ilvl w:val="0"/>
          <w:numId w:val="1"/>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2020 – 8 907 822,35 zł - i były one mniejsze 20,67% w stosunku do roku 2019</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W Wieloletniej Prognozie Finansowej na 2021 rok przedstawiono dane liczbowe, które zawiera szczegółowo uchwała budżetowa na rok 2021.</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 xml:space="preserve">Dochody ogółem zaplanowano w wysokości </w:t>
      </w:r>
      <w:r>
        <w:rPr>
          <w:rFonts w:cs="Times New Roman" w:ascii="Times New Roman" w:hAnsi="Times New Roman"/>
          <w:b/>
          <w:bCs/>
          <w:sz w:val="20"/>
          <w:szCs w:val="20"/>
        </w:rPr>
        <w:t>73 774 479,38 zł</w:t>
      </w:r>
      <w:r>
        <w:rPr>
          <w:rFonts w:cs="Times New Roman" w:ascii="Times New Roman" w:hAnsi="Times New Roman"/>
          <w:sz w:val="20"/>
          <w:szCs w:val="20"/>
        </w:rPr>
        <w:t xml:space="preserve">. Dochody bieżące zaplanowano w kwocie </w:t>
      </w:r>
      <w:r>
        <w:rPr>
          <w:rFonts w:cs="Times New Roman" w:ascii="Times New Roman" w:hAnsi="Times New Roman"/>
          <w:b/>
          <w:bCs/>
          <w:sz w:val="20"/>
          <w:szCs w:val="20"/>
        </w:rPr>
        <w:t>56 244 177,84 zł</w:t>
      </w:r>
      <w:r>
        <w:rPr>
          <w:rFonts w:cs="Times New Roman" w:ascii="Times New Roman" w:hAnsi="Times New Roman"/>
          <w:sz w:val="20"/>
          <w:szCs w:val="20"/>
        </w:rPr>
        <w:t xml:space="preserve">, dochody majątkowe w kwocie </w:t>
      </w:r>
      <w:r>
        <w:rPr>
          <w:rFonts w:cs="Times New Roman" w:ascii="Times New Roman" w:hAnsi="Times New Roman"/>
          <w:b/>
          <w:bCs/>
          <w:sz w:val="20"/>
          <w:szCs w:val="20"/>
        </w:rPr>
        <w:t>17 530 301,54 zł</w:t>
      </w:r>
      <w:r>
        <w:rPr>
          <w:rFonts w:cs="Times New Roman" w:ascii="Times New Roman" w:hAnsi="Times New Roman"/>
          <w:sz w:val="20"/>
          <w:szCs w:val="20"/>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Dochody bieżące planujemy na podobnym poziomie jak w roku 2020. Zaplanowano większe dochody z tytułu udziałów w podatku dochodowym od osób fizycznych zgodnie z informacją przekazaną pismem ST3.4750.30.2020 przez Ministra Finansów.</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Na dochody majątkowe składają się :</w:t>
      </w:r>
    </w:p>
    <w:p>
      <w:pPr>
        <w:pStyle w:val="Normal"/>
        <w:numPr>
          <w:ilvl w:val="0"/>
          <w:numId w:val="2"/>
        </w:numPr>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dochody ze sprzedaży majątku – kwota  2 506 451,00 zł,</w:t>
      </w:r>
    </w:p>
    <w:p>
      <w:pPr>
        <w:pStyle w:val="Normal"/>
        <w:numPr>
          <w:ilvl w:val="0"/>
          <w:numId w:val="2"/>
        </w:numPr>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środki otrzymanego odszkodowania za zajęcie gruntów przez Przedsiębiorstwo Państwowe Wody Polskie -  6 200,00 zł.</w:t>
      </w:r>
    </w:p>
    <w:p>
      <w:pPr>
        <w:pStyle w:val="Normal"/>
        <w:numPr>
          <w:ilvl w:val="0"/>
          <w:numId w:val="2"/>
        </w:numPr>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środki Rządowego Funduszu Inwestycji Lokalnych  - kwota 5 995 643,76 zł</w:t>
      </w:r>
    </w:p>
    <w:p>
      <w:pPr>
        <w:pStyle w:val="Normal"/>
        <w:numPr>
          <w:ilvl w:val="0"/>
          <w:numId w:val="2"/>
        </w:numPr>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środki Rządowego Funduszu Rozwoju Mieszkalnictwa - kwota 3 000 000,00 zł</w:t>
      </w:r>
    </w:p>
    <w:p>
      <w:pPr>
        <w:pStyle w:val="Normal"/>
        <w:numPr>
          <w:ilvl w:val="0"/>
          <w:numId w:val="2"/>
        </w:numPr>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dotacja celowa w ramach pomocy finansowej na realizację zadania w ramach Dolnośląskiego Funduszu Pomocy Rozwojowej 2021 - kwota 123 658,00 zł,</w:t>
      </w:r>
    </w:p>
    <w:p>
      <w:pPr>
        <w:pStyle w:val="Normal"/>
        <w:numPr>
          <w:ilvl w:val="0"/>
          <w:numId w:val="2"/>
        </w:numPr>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dotacja celowa z budżetu Województwa Dolnośląskiego na zadanie rekultywacyjne - 442 200,00 zł,</w:t>
      </w:r>
    </w:p>
    <w:p>
      <w:pPr>
        <w:pStyle w:val="Normal"/>
        <w:numPr>
          <w:ilvl w:val="0"/>
          <w:numId w:val="2"/>
        </w:numPr>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dotacja z Nadleśnictwa Jugów na rekultywację drogi w Krajanowie - 250 000,00 zł</w:t>
      </w:r>
    </w:p>
    <w:p>
      <w:pPr>
        <w:pStyle w:val="Normal"/>
        <w:numPr>
          <w:ilvl w:val="0"/>
          <w:numId w:val="2"/>
        </w:numPr>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dotacja celowa na realizację zadania "Za życiem" - tworzenie mieszkań chronionych - 90 500,00 zł</w:t>
      </w:r>
    </w:p>
    <w:p>
      <w:pPr>
        <w:pStyle w:val="Normal"/>
        <w:numPr>
          <w:ilvl w:val="0"/>
          <w:numId w:val="2"/>
        </w:numPr>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dotacja celowa w ramach pomocy finansowej na realizację zadania w ramach programu "Odnowa Dolnośląskiej Wsi" - kwota 30 000,00 zł,</w:t>
      </w:r>
    </w:p>
    <w:p>
      <w:pPr>
        <w:pStyle w:val="Normal"/>
        <w:numPr>
          <w:ilvl w:val="0"/>
          <w:numId w:val="2"/>
        </w:numPr>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dotacja z Wojewódzkiego Funduszu Ochrony Środowiska i Gospodarki Wodnej we Wrocławiu na fotowoltaikę na remizoe OSP w Bożkowie - 30 000,00 zł,</w:t>
      </w:r>
    </w:p>
    <w:p>
      <w:pPr>
        <w:pStyle w:val="Normal"/>
        <w:numPr>
          <w:ilvl w:val="0"/>
          <w:numId w:val="2"/>
        </w:numPr>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dochody z tytułu ustawowego przekształcenia prawa użytkowania wieczystego –5 000,00 zł,</w:t>
      </w:r>
    </w:p>
    <w:p>
      <w:pPr>
        <w:pStyle w:val="Normal"/>
        <w:numPr>
          <w:ilvl w:val="0"/>
          <w:numId w:val="2"/>
        </w:numPr>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dofinansowanie inwestycji ze środków UE – kwota 3 970 390,75 zł,</w:t>
      </w:r>
    </w:p>
    <w:p>
      <w:pPr>
        <w:pStyle w:val="Normal"/>
        <w:numPr>
          <w:ilvl w:val="0"/>
          <w:numId w:val="2"/>
        </w:numPr>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dotacja z Funduszu Rozwoju Kultury Fizycznej – kwota  999 500,00 zł,</w:t>
      </w:r>
    </w:p>
    <w:p>
      <w:pPr>
        <w:pStyle w:val="Normal"/>
        <w:numPr>
          <w:ilvl w:val="0"/>
          <w:numId w:val="2"/>
        </w:numPr>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zwrot wydatków majątkowych w ramach zrealizowanego Funduszu Sołeckiego – 80 758,03 zł.</w:t>
      </w:r>
    </w:p>
    <w:p>
      <w:pPr>
        <w:pStyle w:val="Normal"/>
        <w:tabs>
          <w:tab w:val="clear" w:pos="708"/>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 xml:space="preserve">W prognozie dochodów na lata 2021-2030 w dochodach ogółem zaplanowano wzrost, który uwzględnia wpływ wskaźników makroekonomicznych.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Wzrost oczekiwanych wpływów ze sprzedaży mienia komunalnego wynika z przygotowania dwóch budynków do sprzedaży : Willi Rodziny Rose (zabytkowa drukarnia Klambta) oraz Europejskiego Domu Spotkań Młodzieży w Sokolcu wraz z gruntem i działkami przyległymi (kwoty stanowią wartość wyceny nieruchomości wykonanej w 2020 roku). Planowana sprzedaż w roku 2020 nie doszła do skutku. Dlatego też przy opracowywaniu planu kierowano się – podobnie jak w roku poprzednim - nie tylko ilością złożonych wniosków o nabycie nieruchomości oraz stopniem przygotowanej dokumentacji umożliwiającej dokonanie operacji, ale także zaplanowano duży wzrost z dochodów związanych z planowanymi transakcjami handlowymi</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 xml:space="preserve">Dochody majątkowe w kolejnych latach zaplanowano na niższym poziomie. Dochody ze sprzedaży mienia gminnego będą coraz mniejsze pomimo, że gmina posiada do zbycia grunty rolne i nieruchomości, to nie zawsze jest zainteresowanie ze strony kupujących.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W tym okresie planujemy rozliczenie końcowe i odzyskanie kwot wydatków kwalifikowanych w ramach realizowanych zadań inwestycyjnych współfinansowanych w ramach środków UE. Ma to związek z planowaną realizacją harmonogramu wpływów dokonywanych z rozliczeń środków otrzymanych na realizację zadań w ramach instrumentu Zintegrowane Inwestycje Terytorialne – ZIT Aglomeracji Wałbrzyskiej RPO WD ( 85% wartości zadania pomniejszone o uzyskane w latach wcześniejszych zaliczkowanie) oraz w ramach Programu Rozwoju Obszarów Wiejskich 2014-2020.</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W prognozie ujęto planowane środki z dofinansowania realizowanych projektów w ramach UE.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Wśród zadań bieżących, w zakresie których została podpisana umowa o dofinansowanie są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a) wśród zadań bieżących:</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08" w:hanging="0"/>
        <w:rPr>
          <w:rFonts w:ascii="Times New Roman" w:hAnsi="Times New Roman" w:cs="Times New Roman"/>
          <w:sz w:val="20"/>
          <w:szCs w:val="20"/>
        </w:rPr>
      </w:pPr>
      <w:r>
        <w:rPr>
          <w:rFonts w:cs="Times New Roman" w:ascii="Times New Roman" w:hAnsi="Times New Roman"/>
          <w:sz w:val="20"/>
          <w:szCs w:val="20"/>
        </w:rPr>
        <w:t>- „Aktywny senior”,</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08" w:hanging="0"/>
        <w:rPr>
          <w:rFonts w:ascii="Times New Roman" w:hAnsi="Times New Roman" w:cs="Times New Roman"/>
          <w:sz w:val="20"/>
          <w:szCs w:val="20"/>
        </w:rPr>
      </w:pPr>
      <w:r>
        <w:rPr>
          <w:rFonts w:cs="Times New Roman" w:ascii="Times New Roman" w:hAnsi="Times New Roman"/>
          <w:sz w:val="20"/>
          <w:szCs w:val="20"/>
        </w:rPr>
        <w:t>-"Wymiana wysokoemisyjnych źródeł ciepła w budynkach i lokalach mieszkalnych na terenie wybranych gmin Aglomeracji Wałbrzyskiej"</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W zakresie zadań majątkowych na projekty lub zadania finansowane z udziałem środków, o których mowa w art. 5 ust. 1 pkt 2 i 3 ustawy, w zakresie których została podpisana umowa o dofinansowanie, znajdują się :</w:t>
      </w:r>
    </w:p>
    <w:p>
      <w:pPr>
        <w:pStyle w:val="Normal"/>
        <w:numPr>
          <w:ilvl w:val="0"/>
          <w:numId w:val="3"/>
        </w:numPr>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Budowa Klubu Seniora w Jugowie” –zadanie realizowane w ramach Zintegrowanych Inwestycji Terytorialnych Aglomeracji Wałbrzyskiej ,</w:t>
      </w:r>
    </w:p>
    <w:p>
      <w:pPr>
        <w:pStyle w:val="Normal"/>
        <w:numPr>
          <w:ilvl w:val="0"/>
          <w:numId w:val="3"/>
        </w:numPr>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"Wymiana wysokoemisyjnych źródeł ciepła w budynkach i lokalach mieszkalnych na terenie wybranych gmin Aglomeracji Wałbrzyskiej"- zadanie realizowane w ramach Zintegrowanych Inwestycji Terytorialnych Aglomeracji Wałbrzyskiej;</w:t>
      </w:r>
    </w:p>
    <w:p>
      <w:pPr>
        <w:pStyle w:val="Normal"/>
        <w:numPr>
          <w:ilvl w:val="0"/>
          <w:numId w:val="3"/>
        </w:numPr>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Budowa przydomowych oczyszczalni ścieków w Gminie Nowa Ruda”</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W roku 2021 planujemy również rozliczenie dochodów w ramach nowych  projektów, na które podpisano umowę o dofinansowanie w roku 2021:</w:t>
      </w:r>
    </w:p>
    <w:p>
      <w:pPr>
        <w:pStyle w:val="Normal"/>
        <w:numPr>
          <w:ilvl w:val="1"/>
          <w:numId w:val="3"/>
        </w:numPr>
        <w:tabs>
          <w:tab w:val="clear" w:pos="708"/>
          <w:tab w:val="left" w:pos="720" w:leader="none"/>
          <w:tab w:val="left" w:pos="108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projekt „Budowa i wyposażenie przedszkola wraz oddziałami integracyjnymi w Bożkowie” w ramach Zintegrowanych Inwestycji Terytorialnych Aglomeracji Wałbrzyskiej; planowana zaliczka na inwestycję to 420 059,15 zł.</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b/>
          <w:b/>
          <w:bCs/>
          <w:sz w:val="20"/>
          <w:szCs w:val="20"/>
          <w:u w:val="single"/>
        </w:rPr>
      </w:pPr>
      <w:r>
        <w:rPr>
          <w:rFonts w:cs="Times New Roman" w:ascii="Times New Roman" w:hAnsi="Times New Roman"/>
          <w:b/>
          <w:bCs/>
          <w:sz w:val="20"/>
          <w:szCs w:val="20"/>
          <w:u w:val="single"/>
        </w:rPr>
        <w:t>WYDATKI</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Wydatki ogółem wyniosły w poszczególnych latach:</w:t>
      </w:r>
    </w:p>
    <w:p>
      <w:pPr>
        <w:pStyle w:val="Normal"/>
        <w:numPr>
          <w:ilvl w:val="0"/>
          <w:numId w:val="1"/>
        </w:numPr>
        <w:tabs>
          <w:tab w:val="clear" w:pos="708"/>
          <w:tab w:val="left" w:pos="360" w:leader="none"/>
          <w:tab w:val="left" w:pos="71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2015 – 36 603 906,75 zł i były wyższe o 3,78% niż w roku 2014.</w:t>
      </w:r>
    </w:p>
    <w:p>
      <w:pPr>
        <w:pStyle w:val="Normal"/>
        <w:numPr>
          <w:ilvl w:val="0"/>
          <w:numId w:val="1"/>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2016 – 40 989 591,32 zł i były wyższe o 11,98% niż w roku 2015</w:t>
      </w:r>
    </w:p>
    <w:p>
      <w:pPr>
        <w:pStyle w:val="Normal"/>
        <w:numPr>
          <w:ilvl w:val="0"/>
          <w:numId w:val="1"/>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2017 – 52 004 678,36 zł i były wyższe o 26,87% niż w roku 2016,</w:t>
      </w:r>
    </w:p>
    <w:p>
      <w:pPr>
        <w:pStyle w:val="Normal"/>
        <w:numPr>
          <w:ilvl w:val="0"/>
          <w:numId w:val="1"/>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2018 – 60 902 816,69 i  były one większe 17,11% w stosunku do roku 2017</w:t>
      </w:r>
    </w:p>
    <w:p>
      <w:pPr>
        <w:pStyle w:val="Normal"/>
        <w:numPr>
          <w:ilvl w:val="0"/>
          <w:numId w:val="1"/>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2019 – 62 231 084,64 – i  były one większe 2,18% w stosunku do roku 2018.</w:t>
      </w:r>
    </w:p>
    <w:p>
      <w:pPr>
        <w:pStyle w:val="Normal"/>
        <w:numPr>
          <w:ilvl w:val="0"/>
          <w:numId w:val="1"/>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2020 – 55 237 821,58 zł - i były one mniejsze 11,24% w stosunku do roku 2019</w:t>
      </w:r>
    </w:p>
    <w:p>
      <w:pPr>
        <w:pStyle w:val="Normal"/>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r>
    </w:p>
    <w:p>
      <w:pPr>
        <w:pStyle w:val="Normal"/>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W ramach wydatków ogółem wydatki bieżące wyniosły w poszczególnych latach:</w:t>
      </w:r>
    </w:p>
    <w:p>
      <w:pPr>
        <w:pStyle w:val="Normal"/>
        <w:numPr>
          <w:ilvl w:val="0"/>
          <w:numId w:val="1"/>
        </w:numPr>
        <w:tabs>
          <w:tab w:val="clear" w:pos="708"/>
          <w:tab w:val="left" w:pos="360" w:leader="none"/>
          <w:tab w:val="left" w:pos="71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2015 – 30 112 346,42 zł., w tym obsługa długu  650 786,15  zł.</w:t>
      </w:r>
    </w:p>
    <w:p>
      <w:pPr>
        <w:pStyle w:val="Normal"/>
        <w:numPr>
          <w:ilvl w:val="0"/>
          <w:numId w:val="1"/>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2016 – 35 596 040,56 zł – i były wyższe o 18,21% niż w roku 2015. Znaczny wzrost był związany z realizacją zadań bieżących związanych z programem „500PLUS”,</w:t>
      </w:r>
    </w:p>
    <w:p>
      <w:pPr>
        <w:pStyle w:val="Normal"/>
        <w:numPr>
          <w:ilvl w:val="0"/>
          <w:numId w:val="11"/>
        </w:numPr>
        <w:tabs>
          <w:tab w:val="clear" w:pos="708"/>
          <w:tab w:val="left" w:pos="360" w:leader="none"/>
          <w:tab w:val="left" w:pos="473" w:leader="none"/>
          <w:tab w:val="left" w:pos="71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rPr>
          <w:rFonts w:ascii="Times New Roman" w:hAnsi="Times New Roman" w:cs="Times New Roman"/>
          <w:sz w:val="20"/>
          <w:szCs w:val="20"/>
        </w:rPr>
      </w:pPr>
      <w:r>
        <w:rPr>
          <w:rFonts w:cs="Times New Roman" w:ascii="Times New Roman" w:hAnsi="Times New Roman"/>
          <w:sz w:val="20"/>
          <w:szCs w:val="20"/>
        </w:rPr>
        <w:t>Rok 2017 – 37 920 850,08 zł  i były wyższe o 6,53% niż w roku 2016</w:t>
      </w:r>
    </w:p>
    <w:p>
      <w:pPr>
        <w:pStyle w:val="Normal"/>
        <w:numPr>
          <w:ilvl w:val="0"/>
          <w:numId w:val="12"/>
        </w:numPr>
        <w:tabs>
          <w:tab w:val="left" w:pos="360" w:leader="none"/>
          <w:tab w:val="left" w:pos="47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rPr>
          <w:rFonts w:ascii="Times New Roman" w:hAnsi="Times New Roman" w:cs="Times New Roman"/>
          <w:sz w:val="20"/>
          <w:szCs w:val="20"/>
        </w:rPr>
      </w:pPr>
      <w:r>
        <w:rPr>
          <w:rFonts w:cs="Times New Roman" w:ascii="Times New Roman" w:hAnsi="Times New Roman"/>
          <w:sz w:val="20"/>
          <w:szCs w:val="20"/>
        </w:rPr>
        <w:t>Rok 2018 – 41 674 692,02 i  były one większe 9,90% w stosunku do roku 2017</w:t>
      </w:r>
    </w:p>
    <w:p>
      <w:pPr>
        <w:pStyle w:val="Normal"/>
        <w:numPr>
          <w:ilvl w:val="0"/>
          <w:numId w:val="13"/>
        </w:numPr>
        <w:tabs>
          <w:tab w:val="left" w:pos="360" w:leader="none"/>
          <w:tab w:val="left" w:pos="47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rPr>
          <w:rFonts w:ascii="Times New Roman" w:hAnsi="Times New Roman" w:cs="Times New Roman"/>
          <w:sz w:val="20"/>
          <w:szCs w:val="20"/>
        </w:rPr>
      </w:pPr>
      <w:r>
        <w:rPr>
          <w:rFonts w:cs="Times New Roman" w:ascii="Times New Roman" w:hAnsi="Times New Roman"/>
          <w:sz w:val="20"/>
          <w:szCs w:val="20"/>
        </w:rPr>
        <w:t>Rok 2019 – 46 151 192,14 – i  były one większe 10,74 % w stosunku do roku 2018</w:t>
      </w:r>
    </w:p>
    <w:p>
      <w:pPr>
        <w:pStyle w:val="Normal"/>
        <w:numPr>
          <w:ilvl w:val="0"/>
          <w:numId w:val="14"/>
        </w:numPr>
        <w:tabs>
          <w:tab w:val="left" w:pos="360" w:leader="none"/>
          <w:tab w:val="left" w:pos="47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rPr>
          <w:rFonts w:ascii="Times New Roman" w:hAnsi="Times New Roman" w:cs="Times New Roman"/>
          <w:sz w:val="20"/>
          <w:szCs w:val="20"/>
        </w:rPr>
      </w:pPr>
      <w:r>
        <w:rPr>
          <w:rFonts w:cs="Times New Roman" w:ascii="Times New Roman" w:hAnsi="Times New Roman"/>
          <w:sz w:val="20"/>
          <w:szCs w:val="20"/>
        </w:rPr>
        <w:t>Rok 2020 – 50 077 670,74 zł - i były one większe o 8,51% w stosunku do roku 2019.</w:t>
      </w:r>
    </w:p>
    <w:p>
      <w:pPr>
        <w:pStyle w:val="Normal"/>
        <w:tabs>
          <w:tab w:val="clear" w:pos="708"/>
          <w:tab w:val="left" w:pos="360" w:leader="none"/>
          <w:tab w:val="left" w:pos="473" w:leader="none"/>
          <w:tab w:val="left" w:pos="71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ind w:left="473" w:hanging="0"/>
        <w:rPr>
          <w:rFonts w:ascii="Times New Roman" w:hAnsi="Times New Roman" w:cs="Times New Roman"/>
          <w:sz w:val="20"/>
          <w:szCs w:val="20"/>
        </w:rPr>
      </w:pPr>
      <w:r>
        <w:rPr>
          <w:rFonts w:cs="Times New Roman" w:ascii="Times New Roman" w:hAnsi="Times New Roman"/>
          <w:sz w:val="20"/>
          <w:szCs w:val="2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W ramach wydatków ogółem wydatki majątkowe wyniosły w poszczególnych latach:</w:t>
      </w:r>
    </w:p>
    <w:p>
      <w:pPr>
        <w:pStyle w:val="Normal"/>
        <w:numPr>
          <w:ilvl w:val="0"/>
          <w:numId w:val="15"/>
        </w:numPr>
        <w:tabs>
          <w:tab w:val="clear" w:pos="708"/>
          <w:tab w:val="left" w:pos="360" w:leader="none"/>
          <w:tab w:val="left" w:pos="71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2015 – 6 491 560,33 zł</w:t>
      </w:r>
    </w:p>
    <w:p>
      <w:pPr>
        <w:pStyle w:val="Normal"/>
        <w:numPr>
          <w:ilvl w:val="0"/>
          <w:numId w:val="16"/>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 xml:space="preserve">Rok 2016 – 5 393 550,76 zł </w:t>
      </w:r>
    </w:p>
    <w:p>
      <w:pPr>
        <w:pStyle w:val="Normal"/>
        <w:numPr>
          <w:ilvl w:val="0"/>
          <w:numId w:val="17"/>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2017 -14 083 828,28 zł  i były wyższe o 161,12% niż w roku 2016</w:t>
      </w:r>
    </w:p>
    <w:p>
      <w:pPr>
        <w:pStyle w:val="Normal"/>
        <w:widowControl w:val="false"/>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ind w:left="360" w:firstLine="113"/>
        <w:jc w:val="left"/>
        <w:rPr>
          <w:rFonts w:ascii="Times New Roman" w:hAnsi="Times New Roman" w:cs="Times New Roman"/>
          <w:sz w:val="20"/>
          <w:szCs w:val="20"/>
        </w:rPr>
      </w:pPr>
      <w:r>
        <w:rPr>
          <w:rFonts w:cs="Times New Roman" w:ascii="Times New Roman" w:hAnsi="Times New Roman"/>
          <w:sz w:val="20"/>
          <w:szCs w:val="20"/>
        </w:rPr>
        <w:t>Rok 2018 –  19 228 124,67 i  były one większe 36,53% w stosunku do roku 2017</w:t>
      </w:r>
    </w:p>
    <w:p>
      <w:pPr>
        <w:pStyle w:val="Normal"/>
        <w:numPr>
          <w:ilvl w:val="0"/>
          <w:numId w:val="18"/>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2019 – 16 079 892,50 – i  były one mniejsze o 16,37% w stosunku do roku 2018</w:t>
      </w:r>
    </w:p>
    <w:p>
      <w:pPr>
        <w:pStyle w:val="Normal"/>
        <w:numPr>
          <w:ilvl w:val="0"/>
          <w:numId w:val="19"/>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rPr>
          <w:rFonts w:ascii="Times New Roman" w:hAnsi="Times New Roman" w:cs="Times New Roman"/>
          <w:sz w:val="20"/>
          <w:szCs w:val="20"/>
        </w:rPr>
      </w:pPr>
      <w:r>
        <w:rPr>
          <w:rFonts w:cs="Times New Roman" w:ascii="Times New Roman" w:hAnsi="Times New Roman"/>
          <w:sz w:val="20"/>
          <w:szCs w:val="20"/>
        </w:rPr>
        <w:t>Rok 2020 – 5 160 150,84 zł - i były one mniejsze 67,90% w stosunku do roku 2019</w:t>
      </w:r>
    </w:p>
    <w:p>
      <w:pPr>
        <w:pStyle w:val="Normal"/>
        <w:tabs>
          <w:tab w:val="left" w:pos="360" w:leader="none"/>
          <w:tab w:val="left" w:pos="47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ind w:left="473" w:hanging="0"/>
        <w:rPr>
          <w:rFonts w:ascii="Times New Roman" w:hAnsi="Times New Roman" w:cs="Times New Roman"/>
          <w:sz w:val="20"/>
          <w:szCs w:val="20"/>
        </w:rPr>
      </w:pPr>
      <w:r>
        <w:rPr>
          <w:rFonts w:cs="Times New Roman" w:ascii="Times New Roman" w:hAnsi="Times New Roman"/>
          <w:sz w:val="20"/>
          <w:szCs w:val="2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W ramach wydatków bieżących w Wieloletniej Prognozie Finansowej przedstawiono wydatki na wynagrodzenia i składki od nich naliczone w 2015 roku - kwota 12 131 203,21 zł, spadek o 1,01 % w stosunku do roku 2014.  Wydatki w 2016 roku na wynagrodzenia i składki od nich naliczone to kwota 12 720 921,02 zł, wzrost o 4,86% w stosunku do roku 2015. W roku 2017 wydatki na wynagrodzenia i składki od nich naliczone wyniosły  12 872 917,39 zł - wzrost o 1,19%. W roku 2018 wydatki na wynagrodzenia i składki od nich naliczone wyniosły  14 349 805,93 zł - wzrost o 11,47%. W roku 2019 wydatki na wynagrodzenia i składki od nich naliczone wyniosły 15 376 905,20 zł - wzrost o 7,16%. rok 2020 – wydatki to kwota 17 118 329,22 zł, wzrost o 11,32%.</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left"/>
        <w:rPr>
          <w:rFonts w:ascii="Times New Roman" w:hAnsi="Times New Roman" w:cs="Times New Roman"/>
          <w:sz w:val="20"/>
          <w:szCs w:val="20"/>
        </w:rPr>
      </w:pPr>
      <w:r>
        <w:rPr>
          <w:rFonts w:cs="Times New Roman" w:ascii="Times New Roman" w:hAnsi="Times New Roman"/>
          <w:sz w:val="20"/>
          <w:szCs w:val="2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 xml:space="preserve">Na rok 2021 wydatki zaplanowano w wysokości </w:t>
      </w:r>
      <w:r>
        <w:rPr>
          <w:rFonts w:cs="Times New Roman" w:ascii="Times New Roman" w:hAnsi="Times New Roman"/>
          <w:b/>
          <w:bCs/>
          <w:sz w:val="20"/>
          <w:szCs w:val="20"/>
        </w:rPr>
        <w:t>82 230 556,37 zł</w:t>
      </w:r>
      <w:r>
        <w:rPr>
          <w:rFonts w:cs="Times New Roman" w:ascii="Times New Roman" w:hAnsi="Times New Roman"/>
          <w:sz w:val="20"/>
          <w:szCs w:val="20"/>
        </w:rPr>
        <w:t xml:space="preserve">. Na wydatki bieżące zaplanowano kwotę </w:t>
      </w:r>
      <w:r>
        <w:rPr>
          <w:rFonts w:cs="Times New Roman" w:ascii="Times New Roman" w:hAnsi="Times New Roman"/>
          <w:b/>
          <w:bCs/>
          <w:sz w:val="20"/>
          <w:szCs w:val="20"/>
        </w:rPr>
        <w:t>55 135 328,68 zł</w:t>
      </w:r>
      <w:r>
        <w:rPr>
          <w:rFonts w:cs="Times New Roman" w:ascii="Times New Roman" w:hAnsi="Times New Roman"/>
          <w:sz w:val="20"/>
          <w:szCs w:val="20"/>
        </w:rPr>
        <w:t xml:space="preserve">, na obsługę długu </w:t>
      </w:r>
      <w:r>
        <w:rPr>
          <w:rFonts w:cs="Times New Roman" w:ascii="Times New Roman" w:hAnsi="Times New Roman"/>
          <w:b/>
          <w:bCs/>
          <w:sz w:val="20"/>
          <w:szCs w:val="20"/>
        </w:rPr>
        <w:t>660 999,00 zł</w:t>
      </w:r>
      <w:r>
        <w:rPr>
          <w:rFonts w:cs="Times New Roman" w:ascii="Times New Roman" w:hAnsi="Times New Roman"/>
          <w:sz w:val="20"/>
          <w:szCs w:val="20"/>
        </w:rPr>
        <w:t xml:space="preserve">. Na wydatki majątkowe zaplanowano kwotę </w:t>
      </w:r>
      <w:r>
        <w:rPr>
          <w:rFonts w:cs="Times New Roman" w:ascii="Times New Roman" w:hAnsi="Times New Roman"/>
          <w:b/>
          <w:bCs/>
          <w:sz w:val="20"/>
          <w:szCs w:val="20"/>
        </w:rPr>
        <w:t>28 095 227,69 zł</w:t>
      </w:r>
      <w:r>
        <w:rPr>
          <w:rFonts w:cs="Times New Roman" w:ascii="Times New Roman" w:hAnsi="Times New Roman"/>
          <w:sz w:val="20"/>
          <w:szCs w:val="20"/>
        </w:rPr>
        <w:t xml:space="preserve">.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before="0" w:after="160"/>
        <w:ind w:left="0" w:hanging="0"/>
        <w:rPr>
          <w:rFonts w:ascii="Times New Roman" w:hAnsi="Times New Roman" w:cs="Times New Roman"/>
          <w:sz w:val="20"/>
          <w:szCs w:val="20"/>
        </w:rPr>
      </w:pPr>
      <w:r>
        <w:rPr>
          <w:rFonts w:cs="Times New Roman" w:ascii="Times New Roman" w:hAnsi="Times New Roman"/>
          <w:sz w:val="20"/>
          <w:szCs w:val="20"/>
        </w:rPr>
        <w:t>Wydatki na wynagrodzenia i składki od nich naliczone na rok 2021 zaplanowano w kwocie 18 423 401,17 zł uwzględniając nagrody jubileuszowe i odprawy emerytalne. Uwzględniono wskaźnik wzrostu wynagrodzeń w państwowej sferze budżetowej , wzrost minimalnego wynagrodzenia za pracę w roku 2021 do wysokości 2 800,00 zł (z uwzględnieniem zmiany dotyczącej uściślenia pojęcia „minimalne wynagrodzenie za pracę” wprowadzonej ustawą z dnia 19 lipca 2019 roku o zmianie ustawy o minimalnym wynagrodzeniu za pracę – Dz.U. poz. 1564) oraz wzrost wydatków w związku z obowiązkowym przystąpieniem do Pracowniczych Planów Kapitałowych – kwota 110 539,00 zł.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Planując wydatki na wynagrodzenia i składki od nich naliczone na lata 2022-2024 przyjęto wykaz planowanych odpraw emerytalnych i nagród jubileuszowych oraz wskaźnik wzrostu wynagrodzeń na poszczególne lata, w szczególności wzrost płac nauczycieli oraz najniższego wynagrodzenia.</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left"/>
        <w:rPr>
          <w:rFonts w:ascii="Times New Roman" w:hAnsi="Times New Roman" w:cs="Times New Roman"/>
          <w:sz w:val="20"/>
          <w:szCs w:val="20"/>
        </w:rPr>
      </w:pPr>
      <w:r>
        <w:rPr>
          <w:rFonts w:cs="Times New Roman" w:ascii="Times New Roman" w:hAnsi="Times New Roman"/>
          <w:sz w:val="20"/>
          <w:szCs w:val="2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 xml:space="preserve">Wśród wydatków bieżących na projekty lub zadania finansowane z udziałem środków, o których mowa w art. 5 ust. 1 pkt 2 i 3 ustawy planowana kwota 29 333,83 zł stanowi kwotę dotacji dla UM Wałbrzych w ramach umowy partnerskiej na rzecz realizacji projektu pn. "Rozwój Obszaru Funkcjonalnego Aglomeracji Wałbrzyskiej poprzez opracowanie dokumentów strategicznych wspierających integrację 22 jst : strategii ZIT, Programu Gospodarki Niskoemisyjnej i Zintegrowanego Programu Transportu Publicznego".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W okresie objętym Wieloletnią Prognozą Finansową tj. lata 2021-2029 Gmina nie planuje wydatków z tytułu gwarancji i poręczeń.</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b/>
          <w:bCs/>
          <w:sz w:val="20"/>
          <w:szCs w:val="20"/>
        </w:rPr>
        <w:t>W latach 2021 i 2022</w:t>
      </w:r>
      <w:r>
        <w:rPr>
          <w:rFonts w:cs="Times New Roman" w:ascii="Times New Roman" w:hAnsi="Times New Roman"/>
          <w:sz w:val="20"/>
          <w:szCs w:val="20"/>
        </w:rPr>
        <w:t xml:space="preserve"> planuje się </w:t>
      </w:r>
      <w:r>
        <w:rPr>
          <w:rFonts w:cs="Times New Roman" w:ascii="Times New Roman" w:hAnsi="Times New Roman"/>
          <w:b/>
          <w:bCs/>
          <w:sz w:val="20"/>
          <w:szCs w:val="20"/>
        </w:rPr>
        <w:t>przychody</w:t>
      </w:r>
      <w:r>
        <w:rPr>
          <w:rFonts w:cs="Times New Roman" w:ascii="Times New Roman" w:hAnsi="Times New Roman"/>
          <w:sz w:val="20"/>
          <w:szCs w:val="20"/>
        </w:rPr>
        <w:t xml:space="preserve"> w wysokości </w:t>
      </w:r>
      <w:r>
        <w:rPr>
          <w:rFonts w:cs="Times New Roman" w:ascii="Times New Roman" w:hAnsi="Times New Roman"/>
          <w:b/>
          <w:bCs/>
          <w:sz w:val="20"/>
          <w:szCs w:val="20"/>
        </w:rPr>
        <w:t xml:space="preserve">9 000 000,00 zł </w:t>
      </w:r>
      <w:r>
        <w:rPr>
          <w:rFonts w:cs="Times New Roman" w:ascii="Times New Roman" w:hAnsi="Times New Roman"/>
          <w:sz w:val="20"/>
          <w:szCs w:val="20"/>
        </w:rPr>
        <w:t>z tytułu emisji obligacji :</w:t>
      </w:r>
    </w:p>
    <w:p>
      <w:pPr>
        <w:pStyle w:val="Normal"/>
        <w:numPr>
          <w:ilvl w:val="1"/>
          <w:numId w:val="1"/>
        </w:numPr>
        <w:tabs>
          <w:tab w:val="left" w:pos="708"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before="0" w:after="198"/>
        <w:rPr>
          <w:rFonts w:ascii="Times New Roman" w:hAnsi="Times New Roman" w:cs="Times New Roman"/>
          <w:sz w:val="20"/>
          <w:szCs w:val="20"/>
        </w:rPr>
      </w:pPr>
      <w:r>
        <w:rPr>
          <w:rFonts w:cs="Times New Roman" w:ascii="Times New Roman" w:hAnsi="Times New Roman"/>
          <w:sz w:val="20"/>
          <w:szCs w:val="20"/>
        </w:rPr>
        <w:t xml:space="preserve">na pokrycie planowanego deficytu budżetowego do kwoty </w:t>
      </w:r>
      <w:r>
        <w:rPr>
          <w:rFonts w:cs="Times New Roman" w:ascii="Times New Roman" w:hAnsi="Times New Roman"/>
          <w:b/>
          <w:bCs/>
          <w:sz w:val="20"/>
          <w:szCs w:val="20"/>
        </w:rPr>
        <w:t xml:space="preserve"> 3 063 017,08 zł</w:t>
      </w:r>
      <w:r>
        <w:rPr>
          <w:rFonts w:cs="Times New Roman" w:ascii="Times New Roman" w:hAnsi="Times New Roman"/>
          <w:sz w:val="20"/>
          <w:szCs w:val="20"/>
        </w:rPr>
        <w:t xml:space="preserve"> w roku 2021,</w:t>
      </w:r>
    </w:p>
    <w:p>
      <w:pPr>
        <w:pStyle w:val="Normal"/>
        <w:numPr>
          <w:ilvl w:val="1"/>
          <w:numId w:val="1"/>
        </w:numPr>
        <w:tabs>
          <w:tab w:val="left" w:pos="708"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before="0" w:after="198"/>
        <w:rPr>
          <w:rFonts w:ascii="Times New Roman" w:hAnsi="Times New Roman" w:cs="Times New Roman"/>
          <w:sz w:val="20"/>
          <w:szCs w:val="20"/>
        </w:rPr>
      </w:pPr>
      <w:r>
        <w:rPr>
          <w:rFonts w:cs="Times New Roman" w:ascii="Times New Roman" w:hAnsi="Times New Roman"/>
          <w:sz w:val="20"/>
          <w:szCs w:val="20"/>
        </w:rPr>
        <w:t xml:space="preserve">na pokrycie planowanego deficytu budżetowego do kwoty </w:t>
      </w:r>
      <w:r>
        <w:rPr>
          <w:rFonts w:cs="Times New Roman" w:ascii="Times New Roman" w:hAnsi="Times New Roman"/>
          <w:b/>
          <w:bCs/>
          <w:sz w:val="20"/>
          <w:szCs w:val="20"/>
        </w:rPr>
        <w:t xml:space="preserve"> 1 986 017,08 zł</w:t>
      </w:r>
      <w:r>
        <w:rPr>
          <w:rFonts w:cs="Times New Roman" w:ascii="Times New Roman" w:hAnsi="Times New Roman"/>
          <w:sz w:val="20"/>
          <w:szCs w:val="20"/>
        </w:rPr>
        <w:t xml:space="preserve"> w roku 2022 </w:t>
      </w:r>
    </w:p>
    <w:p>
      <w:pPr>
        <w:pStyle w:val="Normal"/>
        <w:numPr>
          <w:ilvl w:val="1"/>
          <w:numId w:val="1"/>
        </w:numPr>
        <w:tabs>
          <w:tab w:val="left" w:pos="708"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before="0" w:after="198"/>
        <w:rPr>
          <w:rFonts w:ascii="Times New Roman" w:hAnsi="Times New Roman" w:cs="Times New Roman"/>
          <w:b/>
          <w:b/>
          <w:bCs/>
          <w:sz w:val="20"/>
          <w:szCs w:val="20"/>
        </w:rPr>
      </w:pPr>
      <w:r>
        <w:rPr>
          <w:rFonts w:cs="Times New Roman" w:ascii="Times New Roman" w:hAnsi="Times New Roman"/>
          <w:sz w:val="20"/>
          <w:szCs w:val="20"/>
        </w:rPr>
        <w:t xml:space="preserve">oraz na spłatę wcześniej zaciągniętych zobowiązań z tytułu emisji papierów wartościowych oraz zaciągniętych pożyczek i kredytów w latach 2021 i 2022 do kwoty </w:t>
      </w:r>
      <w:r>
        <w:rPr>
          <w:rFonts w:cs="Times New Roman" w:ascii="Times New Roman" w:hAnsi="Times New Roman"/>
          <w:b/>
          <w:bCs/>
          <w:sz w:val="20"/>
          <w:szCs w:val="20"/>
        </w:rPr>
        <w:t>3 950 965,84 zł,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before="0" w:after="198"/>
        <w:ind w:left="0" w:hanging="0"/>
        <w:rPr>
          <w:rFonts w:ascii="Times New Roman" w:hAnsi="Times New Roman" w:cs="Times New Roman"/>
          <w:sz w:val="20"/>
          <w:szCs w:val="20"/>
        </w:rPr>
      </w:pPr>
      <w:r>
        <w:rPr>
          <w:rFonts w:cs="Times New Roman" w:ascii="Times New Roman" w:hAnsi="Times New Roman"/>
          <w:sz w:val="20"/>
          <w:szCs w:val="20"/>
        </w:rPr>
        <w:t xml:space="preserve">Konieczność zabezpieczenia środków wynika z konieczności zabezpieczenia wkładu własnego realizowanego projektu pod nazwą „Modernizacja Międzygminnej Oczyszczalni Ścieków w Ścinawce Dolnej oraz rozbudowa kanalizacji sanitarnej dla Miasta i Gminy Nowa Ruda” o planowaną na lata 2021-2022 budowę kanalizacji sanitarnej w Jugowie. Projekt jest realizowany przez ZWIK w ramach Programu Operacyjnego Infrastruktura i Środowisko 2014-2020, działanie 2.3 Gospodarka wodno-ściekowa w aglomeracjach, II oś priorytetowa ,,Ochrona środowiska w tym adaptacja do zmian klimatu” – </w:t>
      </w:r>
      <w:r>
        <w:rPr>
          <w:rFonts w:cs="Times New Roman" w:ascii="Times New Roman" w:hAnsi="Times New Roman"/>
          <w:b/>
          <w:bCs/>
          <w:sz w:val="20"/>
          <w:szCs w:val="20"/>
        </w:rPr>
        <w:t xml:space="preserve">kwota 3 000 000,00 zł </w:t>
      </w:r>
      <w:r>
        <w:rPr>
          <w:rFonts w:cs="Times New Roman" w:ascii="Times New Roman" w:hAnsi="Times New Roman"/>
          <w:sz w:val="20"/>
          <w:szCs w:val="20"/>
        </w:rPr>
        <w:t>w roku 2021</w:t>
      </w:r>
      <w:r>
        <w:rPr>
          <w:rFonts w:cs="Times New Roman" w:ascii="Times New Roman" w:hAnsi="Times New Roman"/>
          <w:b/>
          <w:bCs/>
          <w:sz w:val="20"/>
          <w:szCs w:val="20"/>
        </w:rPr>
        <w:t xml:space="preserve"> i 2 000 000,00 zł </w:t>
      </w:r>
      <w:r>
        <w:rPr>
          <w:rFonts w:cs="Times New Roman" w:ascii="Times New Roman" w:hAnsi="Times New Roman"/>
          <w:sz w:val="20"/>
          <w:szCs w:val="20"/>
        </w:rPr>
        <w:t xml:space="preserve">w roku 2022; oraz na pokrycie kosztów budowy przedszkola samorządowego w Bożkowie – kwota </w:t>
      </w:r>
      <w:r>
        <w:rPr>
          <w:rFonts w:cs="Times New Roman" w:ascii="Times New Roman" w:hAnsi="Times New Roman"/>
          <w:b/>
          <w:bCs/>
          <w:sz w:val="20"/>
          <w:szCs w:val="20"/>
        </w:rPr>
        <w:t>4 000 000,00 zł</w:t>
      </w:r>
      <w:r>
        <w:rPr>
          <w:rFonts w:cs="Times New Roman" w:ascii="Times New Roman" w:hAnsi="Times New Roman"/>
          <w:sz w:val="20"/>
          <w:szCs w:val="20"/>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before="0" w:after="160"/>
        <w:ind w:left="0" w:hanging="0"/>
        <w:rPr>
          <w:rFonts w:ascii="Times New Roman" w:hAnsi="Times New Roman" w:cs="Times New Roman"/>
          <w:sz w:val="20"/>
          <w:szCs w:val="20"/>
        </w:rPr>
      </w:pPr>
      <w:r>
        <w:rPr>
          <w:rFonts w:cs="Times New Roman" w:ascii="Times New Roman" w:hAnsi="Times New Roman"/>
          <w:b/>
          <w:bCs/>
          <w:sz w:val="20"/>
          <w:szCs w:val="20"/>
        </w:rPr>
        <w:t>Oprócz emisji obligacji w roku 2021</w:t>
      </w:r>
      <w:r>
        <w:rPr>
          <w:rFonts w:cs="Times New Roman" w:ascii="Times New Roman" w:hAnsi="Times New Roman"/>
          <w:sz w:val="20"/>
          <w:szCs w:val="20"/>
        </w:rPr>
        <w:t xml:space="preserve"> planuje się również </w:t>
      </w:r>
      <w:r>
        <w:rPr>
          <w:rFonts w:cs="Times New Roman" w:ascii="Times New Roman" w:hAnsi="Times New Roman"/>
          <w:b/>
          <w:bCs/>
          <w:sz w:val="20"/>
          <w:szCs w:val="20"/>
        </w:rPr>
        <w:t>przychody w wysokości 6 412 227,91 zł</w:t>
      </w:r>
      <w:r>
        <w:rPr>
          <w:rFonts w:cs="Times New Roman" w:ascii="Times New Roman" w:hAnsi="Times New Roman"/>
          <w:sz w:val="20"/>
          <w:szCs w:val="20"/>
        </w:rPr>
        <w:t xml:space="preserve"> tytułem:</w:t>
      </w:r>
    </w:p>
    <w:p>
      <w:pPr>
        <w:pStyle w:val="Normal"/>
        <w:numPr>
          <w:ilvl w:val="2"/>
          <w:numId w:val="3"/>
        </w:numPr>
        <w:tabs>
          <w:tab w:val="left" w:pos="708"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before="0" w:after="198"/>
        <w:jc w:val="left"/>
        <w:rPr>
          <w:rFonts w:ascii="Times New Roman" w:hAnsi="Times New Roman" w:cs="Times New Roman"/>
          <w:sz w:val="20"/>
          <w:szCs w:val="20"/>
        </w:rPr>
      </w:pPr>
      <w:r>
        <w:rPr>
          <w:rFonts w:cs="Times New Roman" w:ascii="Times New Roman" w:hAnsi="Times New Roman"/>
          <w:sz w:val="20"/>
          <w:szCs w:val="20"/>
        </w:rPr>
        <w:t xml:space="preserve">przychodów jednostek samorządu terytorialnego z niewykorzystanych środków pieniężnych na rachunku bieżącym budżetu, wynikających z rozliczenia dochodów i wydatków nimi finansowanych związanych ze szczególnymi zasadami wykonywania budżetu określonymi w odrębnych ustawach  (Fundusz Przeciwdziałania COVID-19)– </w:t>
      </w:r>
      <w:r>
        <w:rPr>
          <w:rFonts w:cs="Times New Roman" w:ascii="Times New Roman" w:hAnsi="Times New Roman"/>
          <w:b/>
          <w:bCs/>
          <w:sz w:val="20"/>
          <w:szCs w:val="20"/>
        </w:rPr>
        <w:t>kwota 3 918 124,81 zł.</w:t>
      </w:r>
      <w:r>
        <w:rPr>
          <w:rFonts w:cs="Times New Roman" w:ascii="Times New Roman" w:hAnsi="Times New Roman"/>
          <w:sz w:val="20"/>
          <w:szCs w:val="20"/>
        </w:rPr>
        <w:t xml:space="preserve">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08" w:hanging="0"/>
        <w:rPr>
          <w:rFonts w:ascii="Times New Roman" w:hAnsi="Times New Roman" w:cs="Times New Roman"/>
          <w:sz w:val="20"/>
          <w:szCs w:val="20"/>
        </w:rPr>
      </w:pPr>
      <w:r>
        <w:rPr>
          <w:rFonts w:cs="Times New Roman" w:ascii="Times New Roman" w:hAnsi="Times New Roman"/>
          <w:sz w:val="20"/>
          <w:szCs w:val="20"/>
        </w:rPr>
        <w:t xml:space="preserve">W ramach </w:t>
      </w:r>
      <w:r>
        <w:rPr>
          <w:rFonts w:cs="Times New Roman" w:ascii="Times New Roman" w:hAnsi="Times New Roman"/>
          <w:b/>
          <w:bCs/>
          <w:sz w:val="20"/>
          <w:szCs w:val="20"/>
        </w:rPr>
        <w:t>Rządowego Funduszu Inwestycji Lokalnych</w:t>
      </w:r>
      <w:r>
        <w:rPr>
          <w:rFonts w:cs="Times New Roman" w:ascii="Times New Roman" w:hAnsi="Times New Roman"/>
          <w:sz w:val="20"/>
          <w:szCs w:val="20"/>
        </w:rPr>
        <w:t xml:space="preserve"> (przeciwdziałania Covid-19) Gmina Nowa Ruda otrzymała w roku 2020 środki na uzupełnienie utraconych dochodów własnych z przeznaczeniem na wkład własny realizowanych inwestycji w wysokości </w:t>
      </w:r>
      <w:r>
        <w:rPr>
          <w:rFonts w:cs="Times New Roman" w:ascii="Times New Roman" w:hAnsi="Times New Roman"/>
          <w:b/>
          <w:bCs/>
          <w:sz w:val="20"/>
          <w:szCs w:val="20"/>
        </w:rPr>
        <w:t>1 115 267,00 zł.</w:t>
      </w:r>
      <w:r>
        <w:rPr>
          <w:rFonts w:cs="Times New Roman" w:ascii="Times New Roman" w:hAnsi="Times New Roman"/>
          <w:sz w:val="20"/>
          <w:szCs w:val="20"/>
        </w:rPr>
        <w:t xml:space="preserve"> Środki te nie zostały wykorzystane i w roku 2021 stanową </w:t>
      </w:r>
      <w:r>
        <w:rPr>
          <w:rFonts w:cs="Times New Roman" w:ascii="Times New Roman" w:hAnsi="Times New Roman"/>
          <w:b/>
          <w:bCs/>
          <w:sz w:val="20"/>
          <w:szCs w:val="20"/>
        </w:rPr>
        <w:t>przychody jednostek samorządu terytorialnego</w:t>
      </w:r>
      <w:r>
        <w:rPr>
          <w:rFonts w:cs="Times New Roman" w:ascii="Times New Roman" w:hAnsi="Times New Roman"/>
          <w:sz w:val="20"/>
          <w:szCs w:val="20"/>
        </w:rPr>
        <w:t xml:space="preserve"> </w:t>
      </w:r>
      <w:r>
        <w:rPr>
          <w:rFonts w:cs="Times New Roman" w:ascii="Times New Roman" w:hAnsi="Times New Roman"/>
          <w:b/>
          <w:bCs/>
          <w:sz w:val="20"/>
          <w:szCs w:val="20"/>
        </w:rPr>
        <w:t>z tytułu niewykorzystanych środków pieniężnych na rachunku bieżącym budżetu</w:t>
      </w:r>
      <w:r>
        <w:rPr>
          <w:rFonts w:cs="Times New Roman" w:ascii="Times New Roman" w:hAnsi="Times New Roman"/>
          <w:sz w:val="20"/>
          <w:szCs w:val="20"/>
        </w:rPr>
        <w:t>, wynikających z rozliczenia dochodów i wydatków nimi finansowanych związanych ze szczególnymi zasadami wykonywania budżetu określonymi w odrębnych ustawach.</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08" w:hanging="0"/>
        <w:jc w:val="left"/>
        <w:rPr>
          <w:rFonts w:ascii="Times New Roman" w:hAnsi="Times New Roman" w:cs="Times New Roman"/>
          <w:color w:val="000000"/>
          <w:sz w:val="20"/>
          <w:szCs w:val="20"/>
        </w:rPr>
      </w:pPr>
      <w:r>
        <w:rPr>
          <w:rFonts w:cs="Times New Roman" w:ascii="Times New Roman" w:hAnsi="Times New Roman"/>
          <w:color w:val="000000"/>
          <w:sz w:val="20"/>
          <w:szCs w:val="20"/>
        </w:rPr>
        <w:t xml:space="preserve">Dodatkowo w roku 2020 Gmina Nowa Ruda złożyła wniosek o dofinansowanie planowanej budowy hali gimnastycznej w Ludwikowicach Kłodzkich z Funduszu Inwestycji Lokalnych na kwotę 4 317 915,01 zł, Środki te zostały przekazane Gminie Nowa Ruda jeszcze w roku 2020. Zgodnie z harmonogramem  realizacji zadania w roku 2021 zostanie wykorzystana kwota </w:t>
      </w:r>
      <w:r>
        <w:rPr>
          <w:rFonts w:cs="Times New Roman" w:ascii="Times New Roman" w:hAnsi="Times New Roman"/>
          <w:b/>
          <w:bCs/>
          <w:color w:val="000000"/>
          <w:sz w:val="20"/>
          <w:szCs w:val="20"/>
        </w:rPr>
        <w:t>2 300 000,00 zł</w:t>
      </w:r>
      <w:r>
        <w:rPr>
          <w:rFonts w:cs="Times New Roman" w:ascii="Times New Roman" w:hAnsi="Times New Roman"/>
          <w:color w:val="000000"/>
          <w:sz w:val="20"/>
          <w:szCs w:val="20"/>
        </w:rPr>
        <w:t>. Pozostała kwota 2 017 915,01 zł zostanie wykorzystana w roku 2022.</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08" w:hanging="0"/>
        <w:jc w:val="left"/>
        <w:rPr>
          <w:rFonts w:ascii="Times New Roman" w:hAnsi="Times New Roman" w:cs="Times New Roman"/>
          <w:color w:val="000000"/>
          <w:sz w:val="20"/>
          <w:szCs w:val="20"/>
        </w:rPr>
      </w:pPr>
      <w:r>
        <w:rPr>
          <w:rFonts w:cs="Times New Roman" w:ascii="Times New Roman" w:hAnsi="Times New Roman"/>
          <w:color w:val="000000"/>
          <w:sz w:val="20"/>
          <w:szCs w:val="20"/>
        </w:rPr>
        <w:t xml:space="preserve">Trzecim zadaniem planowanym do dofinansowania w ramach Rządowego Funduszu Inwestycji Lokalnych (przeciwdziałania COCID-19) jest zadanie związane z drogami gminnymi. W tym przypadku kwota dofinansowania to </w:t>
      </w:r>
      <w:r>
        <w:rPr>
          <w:rFonts w:cs="Times New Roman" w:ascii="Times New Roman" w:hAnsi="Times New Roman"/>
          <w:b/>
          <w:bCs/>
          <w:color w:val="000000"/>
          <w:sz w:val="20"/>
          <w:szCs w:val="20"/>
        </w:rPr>
        <w:t xml:space="preserve">500 000,00 zł. </w:t>
      </w:r>
      <w:r>
        <w:rPr>
          <w:rFonts w:cs="Times New Roman" w:ascii="Times New Roman" w:hAnsi="Times New Roman"/>
          <w:color w:val="000000"/>
          <w:sz w:val="20"/>
          <w:szCs w:val="20"/>
        </w:rPr>
        <w:t>Środki te zostały przekazane w roku 2020 i zostaną wykorzystane w roku 2021.</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08" w:hanging="0"/>
        <w:jc w:val="left"/>
        <w:rPr>
          <w:rFonts w:ascii="Times New Roman" w:hAnsi="Times New Roman" w:cs="Times New Roman"/>
          <w:sz w:val="20"/>
          <w:szCs w:val="20"/>
        </w:rPr>
      </w:pPr>
      <w:r>
        <w:rPr>
          <w:rFonts w:cs="Times New Roman" w:ascii="Times New Roman" w:hAnsi="Times New Roman"/>
          <w:sz w:val="20"/>
          <w:szCs w:val="20"/>
        </w:rPr>
        <w:t xml:space="preserve">Przychody w ramach odsetek na rachunku bankowym Rządowego Funduszu Inwestycji Lokalnych (Przeciwdziałania COVID-19) w roku 2020 wyniosły </w:t>
      </w:r>
      <w:r>
        <w:rPr>
          <w:rFonts w:cs="Times New Roman" w:ascii="Times New Roman" w:hAnsi="Times New Roman"/>
          <w:b/>
          <w:bCs/>
          <w:sz w:val="20"/>
          <w:szCs w:val="20"/>
        </w:rPr>
        <w:t>2 857,81 zł.</w:t>
      </w:r>
      <w:r>
        <w:rPr>
          <w:rFonts w:cs="Times New Roman" w:ascii="Times New Roman" w:hAnsi="Times New Roman"/>
          <w:sz w:val="20"/>
          <w:szCs w:val="20"/>
        </w:rPr>
        <w:t xml:space="preserve">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08" w:hanging="0"/>
        <w:jc w:val="left"/>
        <w:rPr>
          <w:rFonts w:ascii="Times New Roman" w:hAnsi="Times New Roman" w:cs="Times New Roman"/>
          <w:sz w:val="20"/>
          <w:szCs w:val="20"/>
        </w:rPr>
      </w:pPr>
      <w:r>
        <w:rPr>
          <w:rFonts w:cs="Times New Roman" w:ascii="Times New Roman" w:hAnsi="Times New Roman"/>
          <w:sz w:val="20"/>
          <w:szCs w:val="20"/>
        </w:rPr>
      </w:r>
    </w:p>
    <w:p>
      <w:pPr>
        <w:pStyle w:val="Normal"/>
        <w:numPr>
          <w:ilvl w:val="2"/>
          <w:numId w:val="3"/>
        </w:numPr>
        <w:tabs>
          <w:tab w:val="left" w:pos="708"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before="0" w:after="198"/>
        <w:jc w:val="left"/>
        <w:rPr>
          <w:rFonts w:ascii="Times New Roman" w:hAnsi="Times New Roman" w:cs="Times New Roman"/>
          <w:sz w:val="20"/>
          <w:szCs w:val="20"/>
        </w:rPr>
      </w:pPr>
      <w:r>
        <w:rPr>
          <w:rFonts w:cs="Times New Roman" w:ascii="Times New Roman" w:hAnsi="Times New Roman"/>
          <w:sz w:val="20"/>
          <w:szCs w:val="20"/>
        </w:rPr>
        <w:t>przychodami jednostek samorządu terytorialnego z tytułu niewykorzystanych środków pieniężnych na rachunku bieżącym budżetu, wynikających z rozliczenia dochodów i wydatków nimi finansowanych związanych ze szczególnymi zasadami wykonywania budżetu określonymi w odrębnych ustawach (</w:t>
      </w:r>
      <w:r>
        <w:rPr>
          <w:rFonts w:cs="Times New Roman" w:ascii="Times New Roman" w:hAnsi="Times New Roman"/>
          <w:b/>
          <w:bCs/>
          <w:sz w:val="20"/>
          <w:szCs w:val="20"/>
        </w:rPr>
        <w:t>Przeciwdziałanie alkoholizmowi</w:t>
      </w:r>
      <w:r>
        <w:rPr>
          <w:rFonts w:cs="Times New Roman" w:ascii="Times New Roman" w:hAnsi="Times New Roman"/>
          <w:sz w:val="20"/>
          <w:szCs w:val="20"/>
        </w:rPr>
        <w:t xml:space="preserve">) – </w:t>
      </w:r>
      <w:r>
        <w:rPr>
          <w:rFonts w:cs="Times New Roman" w:ascii="Times New Roman" w:hAnsi="Times New Roman"/>
          <w:b/>
          <w:bCs/>
          <w:sz w:val="20"/>
          <w:szCs w:val="20"/>
        </w:rPr>
        <w:t>kwota 26 828,43 zł</w:t>
      </w:r>
    </w:p>
    <w:p>
      <w:pPr>
        <w:pStyle w:val="Normal"/>
        <w:numPr>
          <w:ilvl w:val="2"/>
          <w:numId w:val="3"/>
        </w:numPr>
        <w:tabs>
          <w:tab w:val="left" w:pos="708"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before="0" w:after="198"/>
        <w:jc w:val="left"/>
        <w:rPr>
          <w:rFonts w:ascii="Times New Roman" w:hAnsi="Times New Roman" w:cs="Times New Roman"/>
          <w:b/>
          <w:b/>
          <w:bCs/>
          <w:sz w:val="20"/>
          <w:szCs w:val="20"/>
        </w:rPr>
      </w:pPr>
      <w:r>
        <w:rPr>
          <w:rFonts w:cs="Times New Roman" w:ascii="Times New Roman" w:hAnsi="Times New Roman"/>
          <w:sz w:val="20"/>
          <w:szCs w:val="20"/>
        </w:rPr>
        <w:t xml:space="preserve">przychodami ze spłaty pożyczki udzielonej Centrum Kultury Gminy Nowa Ruda na realizację projektu „Piękno Karkonoszy i Gór Sowich” współfinansowanego ze środków Programu Interreg V-A Republika Czeska-Polska – </w:t>
      </w:r>
      <w:r>
        <w:rPr>
          <w:rFonts w:cs="Times New Roman" w:ascii="Times New Roman" w:hAnsi="Times New Roman"/>
          <w:b/>
          <w:bCs/>
          <w:sz w:val="20"/>
          <w:szCs w:val="20"/>
        </w:rPr>
        <w:t>kwota 109 991,08 zł</w:t>
      </w:r>
    </w:p>
    <w:p>
      <w:pPr>
        <w:pStyle w:val="Normal"/>
        <w:tabs>
          <w:tab w:val="left" w:pos="708"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before="0" w:after="198"/>
        <w:ind w:left="1416" w:hanging="0"/>
        <w:jc w:val="left"/>
        <w:rPr>
          <w:rFonts w:ascii="Times New Roman" w:hAnsi="Times New Roman" w:cs="Times New Roman"/>
          <w:sz w:val="20"/>
          <w:szCs w:val="20"/>
        </w:rPr>
      </w:pPr>
      <w:r>
        <w:rPr>
          <w:rFonts w:cs="Times New Roman" w:ascii="Times New Roman" w:hAnsi="Times New Roman"/>
          <w:sz w:val="20"/>
          <w:szCs w:val="20"/>
        </w:rPr>
        <w:tab/>
        <w:t xml:space="preserve">W związku z przesunięciem terminu rozliczenia projektu przez instytucję zarządzającą, Centrum Kultury Gminy Nowa Ruda nie otrzymało zwrotu środków podlegających refundacji. Zgodnie z harmonogramem środki mają zostać rozliczone w I półroczu 2021 roku. </w:t>
      </w:r>
    </w:p>
    <w:p>
      <w:pPr>
        <w:pStyle w:val="Normal"/>
        <w:numPr>
          <w:ilvl w:val="2"/>
          <w:numId w:val="3"/>
        </w:numPr>
        <w:tabs>
          <w:tab w:val="left" w:pos="708"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before="0" w:after="198"/>
        <w:jc w:val="left"/>
        <w:rPr>
          <w:rFonts w:ascii="Times New Roman" w:hAnsi="Times New Roman" w:cs="Times New Roman"/>
          <w:sz w:val="20"/>
          <w:szCs w:val="20"/>
        </w:rPr>
      </w:pPr>
      <w:r>
        <w:rPr>
          <w:rFonts w:cs="Times New Roman" w:ascii="Times New Roman" w:hAnsi="Times New Roman"/>
          <w:sz w:val="20"/>
          <w:szCs w:val="20"/>
        </w:rPr>
        <w:t>wolnymi środkami, o których mowa w art. 217 ust. 2 pkt 6 ustawy o finansach publicznych –</w:t>
      </w:r>
      <w:r>
        <w:rPr>
          <w:rFonts w:cs="Times New Roman" w:ascii="Times New Roman" w:hAnsi="Times New Roman"/>
          <w:b/>
          <w:bCs/>
          <w:sz w:val="20"/>
          <w:szCs w:val="20"/>
        </w:rPr>
        <w:t xml:space="preserve"> kwota 2 357 283,59 zł.</w:t>
      </w:r>
    </w:p>
    <w:p>
      <w:pPr>
        <w:pStyle w:val="Normal"/>
        <w:tabs>
          <w:tab w:val="left" w:pos="708"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before="0" w:after="198"/>
        <w:ind w:left="0" w:hanging="0"/>
        <w:jc w:val="left"/>
        <w:rPr>
          <w:rFonts w:ascii="Times New Roman" w:hAnsi="Times New Roman" w:cs="Times New Roman"/>
          <w:sz w:val="20"/>
          <w:szCs w:val="20"/>
        </w:rPr>
      </w:pPr>
      <w:r>
        <w:rPr>
          <w:rFonts w:cs="Times New Roman" w:ascii="Times New Roman" w:hAnsi="Times New Roman"/>
          <w:sz w:val="20"/>
          <w:szCs w:val="20"/>
        </w:rPr>
        <w:t xml:space="preserve">Od roku 2023 planowane są nadwyżki, które przeznacza się na spłatę wcześniej zaciągniętego długu.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 xml:space="preserve">W 2021 roku w Wieloletniej Prognozie Finansowej przyjęto </w:t>
      </w:r>
      <w:r>
        <w:rPr>
          <w:rFonts w:cs="Times New Roman" w:ascii="Times New Roman" w:hAnsi="Times New Roman"/>
          <w:b/>
          <w:bCs/>
          <w:sz w:val="20"/>
          <w:szCs w:val="20"/>
        </w:rPr>
        <w:t>rozchody</w:t>
      </w:r>
      <w:r>
        <w:rPr>
          <w:rFonts w:cs="Times New Roman" w:ascii="Times New Roman" w:hAnsi="Times New Roman"/>
          <w:sz w:val="20"/>
          <w:szCs w:val="20"/>
        </w:rPr>
        <w:t xml:space="preserve"> w kwocie </w:t>
      </w:r>
      <w:r>
        <w:rPr>
          <w:rFonts w:cs="Times New Roman" w:ascii="Times New Roman" w:hAnsi="Times New Roman"/>
          <w:b/>
          <w:bCs/>
          <w:sz w:val="20"/>
          <w:szCs w:val="20"/>
        </w:rPr>
        <w:t>1 956 150,92 zł</w:t>
      </w:r>
      <w:r>
        <w:rPr>
          <w:rFonts w:cs="Times New Roman" w:ascii="Times New Roman" w:hAnsi="Times New Roman"/>
          <w:sz w:val="20"/>
          <w:szCs w:val="20"/>
        </w:rPr>
        <w:t xml:space="preserve"> wynikające:</w:t>
      </w:r>
    </w:p>
    <w:p>
      <w:pPr>
        <w:pStyle w:val="Normal"/>
        <w:numPr>
          <w:ilvl w:val="0"/>
          <w:numId w:val="20"/>
        </w:numPr>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color w:val="000000"/>
          <w:sz w:val="20"/>
          <w:szCs w:val="20"/>
        </w:rPr>
      </w:pPr>
      <w:r>
        <w:rPr>
          <w:rFonts w:cs="Times New Roman" w:ascii="Times New Roman" w:hAnsi="Times New Roman"/>
          <w:color w:val="000000"/>
          <w:sz w:val="20"/>
          <w:szCs w:val="20"/>
        </w:rPr>
        <w:t>Z wykupu emisji obligacji komunalnych seria B11 - umowa z dnia 29.11.2011 r. – kwota 400 000,00 zł,</w:t>
      </w:r>
    </w:p>
    <w:p>
      <w:pPr>
        <w:pStyle w:val="Normal"/>
        <w:numPr>
          <w:ilvl w:val="0"/>
          <w:numId w:val="21"/>
        </w:numPr>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color w:val="000000"/>
          <w:sz w:val="20"/>
          <w:szCs w:val="20"/>
        </w:rPr>
      </w:pPr>
      <w:r>
        <w:rPr>
          <w:rFonts w:cs="Times New Roman" w:ascii="Times New Roman" w:hAnsi="Times New Roman"/>
          <w:color w:val="000000"/>
          <w:sz w:val="20"/>
          <w:szCs w:val="20"/>
        </w:rPr>
        <w:t>Z wykupu emisji obligacji komunalnych seria C11 - umowa z dnia 29.11.2011 r. – kwota 300 000,00 zł,</w:t>
      </w:r>
    </w:p>
    <w:p>
      <w:pPr>
        <w:pStyle w:val="Normal"/>
        <w:numPr>
          <w:ilvl w:val="0"/>
          <w:numId w:val="22"/>
        </w:numPr>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color w:val="000000"/>
          <w:sz w:val="20"/>
          <w:szCs w:val="20"/>
        </w:rPr>
      </w:pPr>
      <w:r>
        <w:rPr>
          <w:rFonts w:cs="Times New Roman" w:ascii="Times New Roman" w:hAnsi="Times New Roman"/>
          <w:color w:val="000000"/>
          <w:sz w:val="20"/>
          <w:szCs w:val="20"/>
        </w:rPr>
        <w:t xml:space="preserve">Z wykupu obligacji komunalnych seria B12 - umowa  z dnia 22 .06.2012 r. – kwota 430 000,00 zł, </w:t>
      </w:r>
    </w:p>
    <w:p>
      <w:pPr>
        <w:pStyle w:val="Normal"/>
        <w:numPr>
          <w:ilvl w:val="0"/>
          <w:numId w:val="23"/>
        </w:numPr>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color w:val="000000"/>
          <w:sz w:val="20"/>
          <w:szCs w:val="20"/>
        </w:rPr>
      </w:pPr>
      <w:r>
        <w:rPr>
          <w:rFonts w:cs="Times New Roman" w:ascii="Times New Roman" w:hAnsi="Times New Roman"/>
          <w:color w:val="000000"/>
          <w:sz w:val="20"/>
          <w:szCs w:val="20"/>
        </w:rPr>
        <w:t>Z wykupu obligacji komunalnych seria C13 - umowa  z dnia 29 .07.2013 r. – kwota 400 000,00 zł,</w:t>
      </w:r>
    </w:p>
    <w:p>
      <w:pPr>
        <w:pStyle w:val="Normal"/>
        <w:numPr>
          <w:ilvl w:val="0"/>
          <w:numId w:val="24"/>
        </w:numPr>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color w:val="000000"/>
          <w:sz w:val="20"/>
          <w:szCs w:val="20"/>
        </w:rPr>
      </w:pPr>
      <w:r>
        <w:rPr>
          <w:rFonts w:cs="Times New Roman" w:ascii="Times New Roman" w:hAnsi="Times New Roman"/>
          <w:color w:val="000000"/>
          <w:sz w:val="20"/>
          <w:szCs w:val="20"/>
        </w:rPr>
        <w:t>Ze spłaty  pożyczki w kwocie 393 000,00 zł zaciągniętej w WFOŚiGW we Wrocławiu  w kwocie 3 930 000,00 zł – umowa nr 013/P/OW/WB/11. Spłata pożyczki nastąpi w 2021 roku,</w:t>
      </w:r>
    </w:p>
    <w:p>
      <w:pPr>
        <w:pStyle w:val="Normal"/>
        <w:numPr>
          <w:ilvl w:val="0"/>
          <w:numId w:val="25"/>
        </w:numPr>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Ze spłaty pożyczki z WFOŚiGW we Wrocławiu- umowa Nr 286/P/OA/WB/2019 - zadanie inwestycyjne pn."Ograniczenie niskiej emisji spalin na obszarze województwa dolnośląskiego - Gmina Nowa Ruda" w ramach programu Priorytetowego "Ograniczenie niskiej emisji na obszarze województwa dolnośląskiego" w kwocie 13 982,92 zł,</w:t>
      </w:r>
    </w:p>
    <w:p>
      <w:pPr>
        <w:pStyle w:val="Normal"/>
        <w:numPr>
          <w:ilvl w:val="0"/>
          <w:numId w:val="26"/>
        </w:numPr>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z limitu dla pożyczki udzielonej na dofinansowanie projektu "Budowa ogolnodostępnej infrastruktury rekreacyjno-turystycznej na terenie Bożkowa"- kwota 19 168,00 zł.</w:t>
      </w:r>
    </w:p>
    <w:p>
      <w:pPr>
        <w:pStyle w:val="Normal"/>
        <w:tabs>
          <w:tab w:val="clear" w:pos="708"/>
          <w:tab w:val="left" w:pos="106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W Wieloletniej Prognozie Finansowej przyjęte wartości do planu dochodów bieżących i majątkowych oraz wydatków bieżących i majątkowych  na rok 2021 szczegółowo zostały przedstawione w uchwale budżetowej na rok 2021 i są zgodne w zakresie wyniku budżetu i związanych z nim kwot rozchodów oraz długu Gminy.</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b/>
          <w:bCs/>
          <w:sz w:val="20"/>
          <w:szCs w:val="20"/>
        </w:rPr>
        <w:t>Planowana kwota długu na koniec roku 2021</w:t>
      </w:r>
      <w:r>
        <w:rPr>
          <w:rFonts w:cs="Times New Roman" w:ascii="Times New Roman" w:hAnsi="Times New Roman"/>
          <w:sz w:val="20"/>
          <w:szCs w:val="20"/>
        </w:rPr>
        <w:t xml:space="preserve"> wynosi </w:t>
      </w:r>
      <w:r>
        <w:rPr>
          <w:rFonts w:cs="Times New Roman" w:ascii="Times New Roman" w:hAnsi="Times New Roman"/>
          <w:b/>
          <w:bCs/>
          <w:sz w:val="20"/>
          <w:szCs w:val="20"/>
        </w:rPr>
        <w:t>17 648 520,99 zł</w:t>
      </w:r>
      <w:r>
        <w:rPr>
          <w:rFonts w:cs="Times New Roman" w:ascii="Times New Roman" w:hAnsi="Times New Roman"/>
          <w:sz w:val="20"/>
          <w:szCs w:val="20"/>
        </w:rPr>
        <w:t xml:space="preserve"> i wynika: </w:t>
      </w:r>
    </w:p>
    <w:p>
      <w:pPr>
        <w:pStyle w:val="Normal"/>
        <w:numPr>
          <w:ilvl w:val="0"/>
          <w:numId w:val="27"/>
        </w:numPr>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z wykupu emisji i obligacji komunalnych – kwota 12 500 000,00 zł,</w:t>
      </w:r>
    </w:p>
    <w:p>
      <w:pPr>
        <w:pStyle w:val="Normal"/>
        <w:numPr>
          <w:ilvl w:val="0"/>
          <w:numId w:val="28"/>
        </w:numPr>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z planowanej emisji i obligacji komunalnych – kwota 5 000 000,00 zł</w:t>
      </w:r>
    </w:p>
    <w:p>
      <w:pPr>
        <w:pStyle w:val="Normal"/>
        <w:numPr>
          <w:ilvl w:val="0"/>
          <w:numId w:val="29"/>
        </w:numPr>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pożyczki z Wojewódzkiego Funduszu Ochrony Środowiska i Gospodarki Wodnej we Wrocławiu na dofinansowanie realizacji zadania "Ograniczenie niskiej emisji spalin na obszarze województwa dolnośląskiego - Gmina Nowa Ruda" ETAP II- kwota 144 764,48 zł,</w:t>
      </w:r>
    </w:p>
    <w:p>
      <w:pPr>
        <w:pStyle w:val="Normal"/>
        <w:numPr>
          <w:ilvl w:val="0"/>
          <w:numId w:val="30"/>
        </w:numPr>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z tytułu umowy na zakup samochodu osobowego w ramach leasingu na potrzeby Urzędu Gminy – kwota 3 756,51 zł.</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 xml:space="preserve">Całkowita spłata długu nastąpi w 2030 roku.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 xml:space="preserve">W związku z </w:t>
      </w:r>
      <w:r>
        <w:rPr>
          <w:rFonts w:cs="Times New Roman" w:ascii="Times New Roman" w:hAnsi="Times New Roman"/>
          <w:b/>
          <w:bCs/>
          <w:sz w:val="20"/>
          <w:szCs w:val="20"/>
        </w:rPr>
        <w:t>art. 15 zob ustawy z dnia 2 marca 2020 roku o szczególnych rozwiązaniach związanych z zapobieganiem, przeciwdziałaniem i zwalczaniem COVID-19, innych chorób zakaźnych oraz wywołanych nimi sytuacji kryzysowych</w:t>
      </w:r>
      <w:r>
        <w:rPr>
          <w:rFonts w:cs="Times New Roman" w:ascii="Times New Roman" w:hAnsi="Times New Roman"/>
          <w:sz w:val="20"/>
          <w:szCs w:val="20"/>
        </w:rPr>
        <w:t xml:space="preserve">  (t.j. Dz.U. 2020 poz. 1842) </w:t>
      </w:r>
      <w:r>
        <w:rPr>
          <w:rFonts w:cs="Times New Roman" w:ascii="Times New Roman" w:hAnsi="Times New Roman"/>
          <w:b/>
          <w:bCs/>
          <w:sz w:val="20"/>
          <w:szCs w:val="20"/>
        </w:rPr>
        <w:t>dokonano wyłączeń</w:t>
      </w:r>
      <w:r>
        <w:rPr>
          <w:rFonts w:cs="Times New Roman" w:ascii="Times New Roman" w:hAnsi="Times New Roman"/>
          <w:sz w:val="20"/>
          <w:szCs w:val="20"/>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bCs/>
          <w:sz w:val="20"/>
          <w:szCs w:val="20"/>
        </w:rPr>
        <w:t>w pozycji 10.11</w:t>
      </w:r>
      <w:r>
        <w:rPr>
          <w:rFonts w:cs="Times New Roman" w:ascii="Times New Roman" w:hAnsi="Times New Roman"/>
          <w:sz w:val="20"/>
          <w:szCs w:val="20"/>
        </w:rPr>
        <w:t xml:space="preserve"> – </w:t>
      </w:r>
      <w:r>
        <w:rPr>
          <w:rFonts w:cs="Times New Roman" w:ascii="Times New Roman" w:hAnsi="Times New Roman"/>
          <w:b/>
          <w:bCs/>
          <w:sz w:val="20"/>
          <w:szCs w:val="20"/>
        </w:rPr>
        <w:t>kwota 127 549,39 zł</w:t>
      </w:r>
      <w:r>
        <w:rPr>
          <w:rFonts w:cs="Times New Roman" w:ascii="Times New Roman" w:hAnsi="Times New Roman"/>
          <w:sz w:val="20"/>
          <w:szCs w:val="20"/>
        </w:rPr>
        <w:t xml:space="preserve"> – wyłączenie dotyczy wydatków bieżących ponoszonych w 2020 r. w celu realizacji zadań związanych z przeciwdziałaniem COVID - 19, które stosownie </w:t>
      </w:r>
      <w:r>
        <w:rPr>
          <w:rFonts w:cs="Times New Roman" w:ascii="Times New Roman" w:hAnsi="Times New Roman"/>
          <w:b/>
          <w:bCs/>
          <w:color w:val="000000"/>
          <w:sz w:val="20"/>
          <w:szCs w:val="20"/>
          <w:u w:val="single"/>
        </w:rPr>
        <w:t>do art. 15 zob ust. 2 pkt 2 ustawy</w:t>
      </w:r>
      <w:r>
        <w:rPr>
          <w:rFonts w:cs="Times New Roman" w:ascii="Times New Roman" w:hAnsi="Times New Roman"/>
          <w:sz w:val="20"/>
          <w:szCs w:val="20"/>
        </w:rPr>
        <w:t xml:space="preserve"> przy wyliczaniu wskaźnika spłaty zobowiązań na rok 2021 i kolejne lata, będą pomniejszały wydatki bieżące.  Zgodnie z wyjaśnieniami opublikowanymi przez MF w związku z opublikowaniem nowego wzoru WPF- wprowadzono kwotę wydatków o charakterze bieżącym, </w:t>
      </w:r>
      <w:r>
        <w:rPr>
          <w:rFonts w:cs="Times New Roman" w:ascii="Times New Roman" w:hAnsi="Times New Roman"/>
          <w:b/>
          <w:bCs/>
          <w:sz w:val="20"/>
          <w:szCs w:val="20"/>
          <w:u w:val="single"/>
        </w:rPr>
        <w:t>które zostały uruchomione bezpośrednio w efekcie wystąpienia pandemii. Są to wydatki wcześniej nie planowane i realizowane w ramach zarządzania kryzysowego</w:t>
      </w:r>
      <w:r>
        <w:rPr>
          <w:rFonts w:cs="Times New Roman" w:ascii="Times New Roman" w:hAnsi="Times New Roman"/>
          <w:sz w:val="20"/>
          <w:szCs w:val="20"/>
        </w:rPr>
        <w:t xml:space="preserve">.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 xml:space="preserve">Począwszy od 2021 do 2030 roku zachowana jest dyspozycja art. 243 ustawy o finansach publicznych.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 xml:space="preserve">Załącznik Nr 2 Wieloletniej Prognozy Finansowej stanowi wykaz przedsięwzięć realizowanych przez Gminę, których okres realizacji wykracza poza jeden rok budżetowy. Jako przedsięwzięcia uznano: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9"/>
        </w:numPr>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b/>
          <w:b/>
          <w:bCs/>
          <w:sz w:val="20"/>
          <w:szCs w:val="20"/>
          <w:u w:val="single"/>
        </w:rPr>
      </w:pPr>
      <w:r>
        <w:rPr>
          <w:rFonts w:cs="Times New Roman" w:ascii="Times New Roman" w:hAnsi="Times New Roman"/>
          <w:b/>
          <w:bCs/>
          <w:sz w:val="20"/>
          <w:szCs w:val="20"/>
          <w:u w:val="single"/>
        </w:rPr>
        <w:t>w ramach projektów związanych z programami realizowanymi z udziałem środków, o których mowa w art. 5 ust. 1 pkt 2 i 3 ustawy o finansach publicznych:</w:t>
      </w:r>
    </w:p>
    <w:p>
      <w:pPr>
        <w:pStyle w:val="Normal"/>
        <w:tabs>
          <w:tab w:val="clear" w:pos="708"/>
          <w:tab w:val="left" w:pos="720"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left"/>
        <w:rPr>
          <w:rFonts w:ascii="Times New Roman" w:hAnsi="Times New Roman" w:cs="Times New Roman"/>
          <w:i/>
          <w:i/>
          <w:iCs/>
          <w:sz w:val="20"/>
          <w:szCs w:val="20"/>
        </w:rPr>
      </w:pPr>
      <w:r>
        <w:rPr>
          <w:rFonts w:cs="Times New Roman" w:ascii="Times New Roman" w:hAnsi="Times New Roman"/>
          <w:i/>
          <w:iCs/>
          <w:sz w:val="20"/>
          <w:szCs w:val="20"/>
        </w:rPr>
        <w:t>a) w ramach wydatków bieżących :</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Rozwój obszaru Funkcjonalnego Aglomeracji Wałbrzyskiej poprzez opracowanie dokumentów strategicznych wspierających integrację 22 jst: Strategii ZIT, Programu Gospodarki Niskoemisyjnej i Zintegrowanego Transportu Publicznego”</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 xml:space="preserve">(w budżecie na rok 2021 wydatek ujęto w podziałce klasyfikacji budżetowej : </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dział 758 rozdział 75809 paragraf  2889)</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 xml:space="preserve">"Wymiana wysokoemisyjnych źródeł ciepła w budynkach i lokalach mieszkalnych na terenie wybranych gmin Aglomeracji Wałbrzyskiej” </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 xml:space="preserve">(w budżecie na rok 2021 wydatek ujęto w podziałce klasyfikacji budżetowej : </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dział 900 rozdział 90005 paragraf  401,411,412,421,430)</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"Lubimy się/Máme se rádi"</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(zadanie kasowo będzie realizowane w roku 2022)</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i/>
          <w:i/>
          <w:iCs/>
          <w:sz w:val="20"/>
          <w:szCs w:val="20"/>
        </w:rPr>
      </w:pPr>
      <w:r>
        <w:rPr>
          <w:rFonts w:cs="Times New Roman" w:ascii="Times New Roman" w:hAnsi="Times New Roman"/>
          <w:i/>
          <w:iCs/>
          <w:sz w:val="20"/>
          <w:szCs w:val="20"/>
        </w:rPr>
        <w:t>b) w ramach wydatków majątkowych :</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Budowa przydomowych oczyszczalni ścieków w Gminie Nowa Ruda”</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 xml:space="preserve">(w budżecie na rok 2021 wydatek ujęto w podziałce klasyfikacji budżetowej : </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dział 900 rozdział 90001 paragraf  6057 i 6059)</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 xml:space="preserve">"Wymiana wysokoemisyjnych źródeł ciepła w budynkach i lokalach mieszkalnych na terenie wybranych gmin Aglomeracji Wałbrzyskiej” </w:t>
      </w:r>
    </w:p>
    <w:p>
      <w:pPr>
        <w:pStyle w:val="Normal"/>
        <w:widowControl w:val="false"/>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 xml:space="preserve">(w budżecie na rok 2021 wydatek ujęto w podziałce klasyfikacji budżetowej : </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dział 900 rozdział 90005 paragraf  6237)</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 xml:space="preserve">Budowa i wyposażenie przedszkola z oddziałami integracyjnymi  w Bożkowie” </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 xml:space="preserve">(w budżecie na rok 2021 wydatek ujęto w podziałce klasyfikacji budżetowej : </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dział 801 rozdział 80104 paragraf  6057 i 6059)</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b/>
          <w:b/>
          <w:bCs/>
          <w:sz w:val="20"/>
          <w:szCs w:val="20"/>
          <w:u w:val="single"/>
        </w:rPr>
      </w:pPr>
      <w:r>
        <w:rPr>
          <w:rFonts w:cs="Times New Roman" w:ascii="Times New Roman" w:hAnsi="Times New Roman"/>
          <w:b/>
          <w:bCs/>
          <w:sz w:val="20"/>
          <w:szCs w:val="20"/>
          <w:u w:val="single"/>
        </w:rPr>
        <w:t>w ramach wydatków na projekty lub zadania pozostałe:</w:t>
      </w:r>
    </w:p>
    <w:p>
      <w:pPr>
        <w:pStyle w:val="Normal"/>
        <w:tabs>
          <w:tab w:val="clear" w:pos="708"/>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s>
        <w:spacing w:lineRule="auto" w:line="360"/>
        <w:ind w:left="0" w:hanging="0"/>
        <w:rPr>
          <w:rFonts w:ascii="Times New Roman" w:hAnsi="Times New Roman" w:cs="Times New Roman"/>
          <w:i/>
          <w:i/>
          <w:iCs/>
          <w:sz w:val="20"/>
          <w:szCs w:val="20"/>
        </w:rPr>
      </w:pPr>
      <w:r>
        <w:rPr>
          <w:rFonts w:cs="Times New Roman" w:ascii="Times New Roman" w:hAnsi="Times New Roman"/>
          <w:i/>
          <w:iCs/>
          <w:sz w:val="20"/>
          <w:szCs w:val="20"/>
        </w:rPr>
        <w:t>a) w ramach wydatków bieżących :</w:t>
      </w:r>
    </w:p>
    <w:p>
      <w:pPr>
        <w:pStyle w:val="Normal"/>
        <w:tabs>
          <w:tab w:val="clear" w:pos="708"/>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ab/>
        <w:t xml:space="preserve"> „Zakup samochodu osobowego w ramach leasingu na potrzeby Urzędu Gminy”</w:t>
      </w:r>
    </w:p>
    <w:p>
      <w:pPr>
        <w:pStyle w:val="Normal"/>
        <w:tabs>
          <w:tab w:val="clear" w:pos="708"/>
          <w:tab w:val="left" w:pos="74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44" w:firstLine="696"/>
        <w:jc w:val="left"/>
        <w:rPr>
          <w:rFonts w:ascii="Times New Roman" w:hAnsi="Times New Roman" w:cs="Times New Roman"/>
          <w:sz w:val="20"/>
          <w:szCs w:val="20"/>
        </w:rPr>
      </w:pPr>
      <w:r>
        <w:rPr>
          <w:rFonts w:cs="Times New Roman" w:ascii="Times New Roman" w:hAnsi="Times New Roman"/>
          <w:sz w:val="20"/>
          <w:szCs w:val="20"/>
        </w:rPr>
        <w:t xml:space="preserve">(w budżecie na rok 2021 wydatek ujęto w podziałce klasyfikacji budżetowej : </w:t>
      </w:r>
    </w:p>
    <w:p>
      <w:pPr>
        <w:pStyle w:val="Normal"/>
        <w:tabs>
          <w:tab w:val="clear" w:pos="708"/>
          <w:tab w:val="left" w:pos="74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44" w:firstLine="696"/>
        <w:jc w:val="left"/>
        <w:rPr>
          <w:rFonts w:ascii="Times New Roman" w:hAnsi="Times New Roman" w:cs="Times New Roman"/>
          <w:sz w:val="20"/>
          <w:szCs w:val="20"/>
        </w:rPr>
      </w:pPr>
      <w:r>
        <w:rPr>
          <w:rFonts w:cs="Times New Roman" w:ascii="Times New Roman" w:hAnsi="Times New Roman"/>
          <w:sz w:val="20"/>
          <w:szCs w:val="20"/>
        </w:rPr>
        <w:t>dział 750  rozdział 75023 paragraf 4920)</w:t>
      </w:r>
    </w:p>
    <w:p>
      <w:pPr>
        <w:pStyle w:val="Normal"/>
        <w:tabs>
          <w:tab w:val="clear" w:pos="708"/>
          <w:tab w:val="left" w:pos="74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44" w:firstLine="696"/>
        <w:jc w:val="left"/>
        <w:rPr>
          <w:rFonts w:ascii="Times New Roman" w:hAnsi="Times New Roman" w:cs="Times New Roman"/>
          <w:sz w:val="20"/>
          <w:szCs w:val="20"/>
        </w:rPr>
      </w:pPr>
      <w:r>
        <w:rPr>
          <w:rFonts w:cs="Times New Roman" w:ascii="Times New Roman" w:hAnsi="Times New Roman"/>
          <w:sz w:val="20"/>
          <w:szCs w:val="20"/>
        </w:rPr>
        <w:t>"Umowa serwisowa VIVALDI"</w:t>
      </w:r>
    </w:p>
    <w:p>
      <w:pPr>
        <w:pStyle w:val="Normal"/>
        <w:tabs>
          <w:tab w:val="clear" w:pos="708"/>
          <w:tab w:val="left" w:pos="74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44" w:firstLine="696"/>
        <w:jc w:val="left"/>
        <w:rPr>
          <w:rFonts w:ascii="Times New Roman" w:hAnsi="Times New Roman" w:cs="Times New Roman"/>
          <w:sz w:val="20"/>
          <w:szCs w:val="20"/>
        </w:rPr>
      </w:pPr>
      <w:r>
        <w:rPr>
          <w:rFonts w:cs="Times New Roman" w:ascii="Times New Roman" w:hAnsi="Times New Roman"/>
          <w:sz w:val="20"/>
          <w:szCs w:val="20"/>
        </w:rPr>
        <w:t xml:space="preserve">(w budżecie na rok 2021 wydatek ujęto w podziałce klasyfikacji budżetowej : </w:t>
      </w:r>
    </w:p>
    <w:p>
      <w:pPr>
        <w:pStyle w:val="Normal"/>
        <w:tabs>
          <w:tab w:val="clear" w:pos="708"/>
          <w:tab w:val="left" w:pos="74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44" w:firstLine="696"/>
        <w:jc w:val="left"/>
        <w:rPr>
          <w:rFonts w:ascii="Times New Roman" w:hAnsi="Times New Roman" w:cs="Times New Roman"/>
          <w:sz w:val="20"/>
          <w:szCs w:val="20"/>
        </w:rPr>
      </w:pPr>
      <w:r>
        <w:rPr>
          <w:rFonts w:cs="Times New Roman" w:ascii="Times New Roman" w:hAnsi="Times New Roman"/>
          <w:sz w:val="20"/>
          <w:szCs w:val="20"/>
        </w:rPr>
        <w:t>dział 750  rozdział 75075 i 75023 paragraf 4300)</w:t>
      </w:r>
    </w:p>
    <w:p>
      <w:pPr>
        <w:pStyle w:val="Normal"/>
        <w:tabs>
          <w:tab w:val="clear" w:pos="708"/>
          <w:tab w:val="left" w:pos="74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44" w:firstLine="696"/>
        <w:jc w:val="left"/>
        <w:rPr>
          <w:rFonts w:ascii="Times New Roman" w:hAnsi="Times New Roman" w:cs="Times New Roman"/>
          <w:sz w:val="20"/>
          <w:szCs w:val="20"/>
        </w:rPr>
      </w:pPr>
      <w:r>
        <w:rPr>
          <w:rFonts w:cs="Times New Roman" w:ascii="Times New Roman" w:hAnsi="Times New Roman"/>
          <w:sz w:val="20"/>
          <w:szCs w:val="20"/>
        </w:rPr>
        <w:t>"Abonament systemu Płace Vulcan"</w:t>
      </w:r>
    </w:p>
    <w:p>
      <w:pPr>
        <w:pStyle w:val="Normal"/>
        <w:tabs>
          <w:tab w:val="clear" w:pos="708"/>
          <w:tab w:val="left" w:pos="74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44" w:firstLine="696"/>
        <w:jc w:val="left"/>
        <w:rPr>
          <w:rFonts w:ascii="Times New Roman" w:hAnsi="Times New Roman" w:cs="Times New Roman"/>
          <w:sz w:val="20"/>
          <w:szCs w:val="20"/>
        </w:rPr>
      </w:pPr>
      <w:r>
        <w:rPr>
          <w:rFonts w:cs="Times New Roman" w:ascii="Times New Roman" w:hAnsi="Times New Roman"/>
          <w:sz w:val="20"/>
          <w:szCs w:val="20"/>
        </w:rPr>
        <w:t xml:space="preserve">(w budżecie na rok 2021 wydatek ujęto w podziałce klasyfikacji budżetowej : </w:t>
      </w:r>
    </w:p>
    <w:p>
      <w:pPr>
        <w:pStyle w:val="Normal"/>
        <w:tabs>
          <w:tab w:val="clear" w:pos="708"/>
          <w:tab w:val="left" w:pos="74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44" w:firstLine="696"/>
        <w:jc w:val="left"/>
        <w:rPr>
          <w:rFonts w:ascii="Times New Roman" w:hAnsi="Times New Roman" w:cs="Times New Roman"/>
          <w:sz w:val="20"/>
          <w:szCs w:val="20"/>
        </w:rPr>
      </w:pPr>
      <w:r>
        <w:rPr>
          <w:rFonts w:cs="Times New Roman" w:ascii="Times New Roman" w:hAnsi="Times New Roman"/>
          <w:sz w:val="20"/>
          <w:szCs w:val="20"/>
        </w:rPr>
        <w:t>dział 750  rozdział 75023 paragraf 4300)</w:t>
      </w:r>
    </w:p>
    <w:p>
      <w:pPr>
        <w:pStyle w:val="Normal"/>
        <w:tabs>
          <w:tab w:val="clear" w:pos="708"/>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s>
        <w:spacing w:lineRule="auto" w:line="360"/>
        <w:ind w:left="0" w:hanging="0"/>
        <w:rPr>
          <w:rFonts w:ascii="Times New Roman" w:hAnsi="Times New Roman" w:cs="Times New Roman"/>
          <w:i/>
          <w:i/>
          <w:iCs/>
          <w:sz w:val="20"/>
          <w:szCs w:val="20"/>
        </w:rPr>
      </w:pPr>
      <w:r>
        <w:rPr>
          <w:rFonts w:cs="Times New Roman" w:ascii="Times New Roman" w:hAnsi="Times New Roman"/>
          <w:i/>
          <w:iCs/>
          <w:sz w:val="20"/>
          <w:szCs w:val="20"/>
        </w:rPr>
        <w:t>b) w ramach wydatków majątkowych :</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 xml:space="preserve">Budowa hali sportowej przy Szkole Podstawowej w Ludwikowicach Kłodzkich” </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 xml:space="preserve">(w budżecie na rok 2021 wydatek ujęto w podziałce klasyfikacji budżetowej : </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dział 926 rozdział 92601 paragraf 6050)</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 xml:space="preserve">Budowa boiska sportowego w Czerwieńczycach” </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(zadanie kasowo będzie realizowane w roku 2022)</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"Wydatki na podwyższenie kapitału zakładowego i objęcie udziałów w ZWiK sp. z o.o."</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 xml:space="preserve">(w budżecie na rok 2021 wydatek ujęto w podziałce klasyfikacji budżetowej : </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dział 900 rozdział 90001 paragraf 6010)</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"Rozwój Gminy Nowa Ruda poprzez inwestycje w infrastrukturę techniczną"</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(zadanie kasowo będzie realizowane w latach 2022-2024)</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"Rozwój Gminy Nowa Ruda poprzez inwestycje w infrastrukturę społeczną"</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(zadanie kasowo będzie realizowane w roku 2023)</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"Modernizacja basenu w Jugowie wraz z niezbędną infrastrukturą"</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t>(zadanie kasowo będzie realizowane w roku 2023)</w:t>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720" w:hanging="0"/>
        <w:jc w:val="left"/>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jc w:val="left"/>
        <w:rPr>
          <w:rFonts w:ascii="Times New Roman" w:hAnsi="Times New Roman" w:cs="Times New Roman"/>
          <w:sz w:val="20"/>
          <w:szCs w:val="20"/>
        </w:rPr>
      </w:pPr>
      <w:r>
        <w:rPr>
          <w:rFonts w:cs="Times New Roman" w:ascii="Times New Roman" w:hAnsi="Times New Roman"/>
          <w:sz w:val="20"/>
          <w:szCs w:val="20"/>
        </w:rPr>
        <w:t>Pozostałe zadania przyjęte do realizacji na 2021 rok planowane są do wykonania i zakończenia w roku 2021.</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Załącznik nr 3 stanowią objaśnienia dotyczące metodologii przyjętych założeń oraz analizę danych prezentowanych w Wieloletniej Prognozie Finansowej.</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ind w:left="0" w:hanging="0"/>
        <w:rPr>
          <w:rFonts w:ascii="Times New Roman" w:hAnsi="Times New Roman" w:cs="Times New Roman"/>
          <w:sz w:val="20"/>
          <w:szCs w:val="20"/>
        </w:rPr>
      </w:pPr>
      <w:r>
        <w:rPr>
          <w:rFonts w:cs="Times New Roman" w:ascii="Times New Roman" w:hAnsi="Times New Roman"/>
          <w:sz w:val="20"/>
          <w:szCs w:val="20"/>
        </w:rPr>
        <w:t>Odległy czas prognozowania zwiększa ryzyko niewłaściwego oszacowania wartości przyjętych w prognozie w odniesieniu do faktycznie uzyskanych. W związku z powyższym Wieloletnia Prognoza Finansowa będzie corocznie nowelizowana w ramach poniższych założeń:</w:t>
      </w:r>
    </w:p>
    <w:p>
      <w:pPr>
        <w:pStyle w:val="Normal"/>
        <w:numPr>
          <w:ilvl w:val="0"/>
          <w:numId w:val="31"/>
        </w:numPr>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imes New Roman" w:hAnsi="Times New Roman" w:cs="Times New Roman"/>
          <w:sz w:val="20"/>
          <w:szCs w:val="20"/>
        </w:rPr>
      </w:pPr>
      <w:r>
        <w:rPr>
          <w:rFonts w:cs="Times New Roman" w:ascii="Times New Roman" w:hAnsi="Times New Roman"/>
          <w:sz w:val="20"/>
          <w:szCs w:val="20"/>
        </w:rPr>
        <w:t>dla danego roku będą przyjmowane wartości wynikające z projektu budżetu,</w:t>
      </w:r>
    </w:p>
    <w:p>
      <w:pPr>
        <w:pStyle w:val="Normal"/>
        <w:widowControl w:val="false"/>
        <w:numPr>
          <w:ilvl w:val="0"/>
          <w:numId w:val="32"/>
        </w:numPr>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Calibri" w:hAnsi="Calibri" w:cs="Calibri"/>
          <w:sz w:val="20"/>
          <w:szCs w:val="20"/>
        </w:rPr>
      </w:pPr>
      <w:r>
        <w:rPr>
          <w:rFonts w:cs="Times New Roman" w:ascii="Times New Roman" w:hAnsi="Times New Roman"/>
          <w:sz w:val="20"/>
          <w:szCs w:val="20"/>
        </w:rPr>
        <w:t>na pozostałe lata przyjmowane wartości będą prognozowane o poszczególne wskaźniki PKB i CPI oraz wskaźniki inflacji.</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0" w:hanging="0"/>
        <w:jc w:val="left"/>
        <w:rPr>
          <w:rFonts w:ascii="Calibri" w:hAnsi="Calibri" w:cs="Calibri"/>
          <w:sz w:val="20"/>
          <w:szCs w:val="20"/>
        </w:rPr>
      </w:pPr>
      <w:r>
        <w:rPr>
          <w:rFonts w:cs="Calibri"/>
          <w:sz w:val="20"/>
          <w:szCs w:val="20"/>
        </w:rPr>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0" w:hanging="0"/>
        <w:jc w:val="left"/>
        <w:rPr>
          <w:rFonts w:ascii="Calibri" w:hAnsi="Calibri" w:cs="Calibri"/>
          <w:sz w:val="20"/>
          <w:szCs w:val="20"/>
        </w:rPr>
      </w:pPr>
      <w:r>
        <w:rPr>
          <w:rFonts w:cs="Calibri"/>
          <w:sz w:val="20"/>
          <w:szCs w:val="20"/>
        </w:rPr>
      </w:r>
    </w:p>
    <w:p>
      <w:pPr>
        <w:pStyle w:val="Normal"/>
        <w:widowControl w:val="false"/>
        <w:ind w:left="0" w:hanging="0"/>
        <w:jc w:val="left"/>
        <w:rPr>
          <w:rFonts w:ascii="Calibri" w:hAnsi="Calibri" w:cs="Calibri"/>
          <w:sz w:val="20"/>
          <w:szCs w:val="20"/>
        </w:rPr>
      </w:pPr>
      <w:r>
        <w:rPr>
          <w:rFonts w:cs="Calibri"/>
          <w:sz w:val="20"/>
          <w:szCs w:val="20"/>
        </w:rPr>
      </w:r>
    </w:p>
    <w:p>
      <w:pPr>
        <w:pStyle w:val="Normal"/>
        <w:rPr/>
      </w:pPr>
      <w:r>
        <w:rPr/>
      </w:r>
    </w:p>
    <w:sectPr>
      <w:footerReference w:type="default" r:id="rId2"/>
      <w:type w:val="nextPage"/>
      <w:pgSz w:w="11906" w:h="16838"/>
      <w:pgMar w:left="1417" w:right="1417" w:header="0" w:top="1417" w:footer="72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 ARABIC </w:instrText>
    </w:r>
    <w:r>
      <w:rPr/>
      <w:fldChar w:fldCharType="separate"/>
    </w:r>
    <w:r>
      <w:rPr/>
      <w:t>9</w:t>
    </w:r>
    <w:r>
      <w:rPr/>
      <w:fldChar w:fldCharType="end"/>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firstLine="113"/>
      </w:pPr>
      <w:rPr>
        <w:rFonts w:ascii="Symbol" w:hAnsi="Symbol" w:cs="Symbol" w:hint="default"/>
        <w:dstrike w:val="false"/>
        <w:strike w:val="false"/>
        <w:sz w:val="24"/>
        <w:i w:val="false"/>
        <w:u w:val="none"/>
        <w:b w:val="false"/>
        <w:szCs w:val="24"/>
        <w:iCs w:val="false"/>
        <w:bCs w:val="false"/>
        <w:color w:val="auto"/>
      </w:rPr>
    </w:lvl>
    <w:lvl w:ilvl="1">
      <w:start w:val="1"/>
      <w:numFmt w:val="lowerLetter"/>
      <w:lvlText w:val="%2)"/>
      <w:lvlJc w:val="left"/>
      <w:pPr>
        <w:tabs>
          <w:tab w:val="num" w:pos="0"/>
        </w:tabs>
        <w:ind w:left="1440" w:hanging="360"/>
      </w:pPr>
      <w:rPr>
        <w:dstrike w:val="false"/>
        <w:strike w:val="false"/>
        <w:sz w:val="20"/>
        <w:i w:val="false"/>
        <w:u w:val="none"/>
        <w:b w:val="false"/>
        <w:szCs w:val="20"/>
        <w:iCs w:val="false"/>
        <w:bCs w:val="false"/>
        <w:rFonts w:ascii="Times New Roman" w:hAnsi="Times New Roman" w:cs="Times New Roman"/>
        <w:color w:val="auto"/>
      </w:rPr>
    </w:lvl>
    <w:lvl w:ilvl="2">
      <w:start w:val="1"/>
      <w:numFmt w:val="lowerLetter"/>
      <w:lvlText w:val="%3)"/>
      <w:lvlJc w:val="left"/>
      <w:pPr>
        <w:tabs>
          <w:tab w:val="num" w:pos="0"/>
        </w:tabs>
        <w:ind w:left="1800" w:hanging="360"/>
      </w:pPr>
      <w:rPr>
        <w:dstrike w:val="false"/>
        <w:strike w:val="false"/>
        <w:sz w:val="20"/>
        <w:i w:val="false"/>
        <w:u w:val="none"/>
        <w:b w:val="false"/>
        <w:szCs w:val="20"/>
        <w:iCs w:val="false"/>
        <w:bCs w:val="false"/>
        <w:rFonts w:ascii="Times New Roman" w:hAnsi="Times New Roman" w:cs="Times New Roman"/>
        <w:color w:val="auto"/>
      </w:rPr>
    </w:lvl>
    <w:lvl w:ilvl="3">
      <w:start w:val="1"/>
      <w:numFmt w:val="lowerLetter"/>
      <w:lvlText w:val="%4)"/>
      <w:lvlJc w:val="left"/>
      <w:pPr>
        <w:tabs>
          <w:tab w:val="num" w:pos="0"/>
        </w:tabs>
        <w:ind w:left="2160" w:hanging="360"/>
      </w:pPr>
      <w:rPr>
        <w:dstrike w:val="false"/>
        <w:strike w:val="false"/>
        <w:sz w:val="20"/>
        <w:i w:val="false"/>
        <w:u w:val="none"/>
        <w:b w:val="false"/>
        <w:szCs w:val="20"/>
        <w:iCs w:val="false"/>
        <w:bCs w:val="false"/>
        <w:rFonts w:ascii="Times New Roman" w:hAnsi="Times New Roman" w:cs="Times New Roman"/>
        <w:color w:val="auto"/>
      </w:rPr>
    </w:lvl>
    <w:lvl w:ilvl="4">
      <w:start w:val="1"/>
      <w:numFmt w:val="lowerLetter"/>
      <w:lvlText w:val="%5)"/>
      <w:lvlJc w:val="left"/>
      <w:pPr>
        <w:tabs>
          <w:tab w:val="num" w:pos="0"/>
        </w:tabs>
        <w:ind w:left="2520" w:hanging="360"/>
      </w:pPr>
      <w:rPr>
        <w:dstrike w:val="false"/>
        <w:strike w:val="false"/>
        <w:sz w:val="20"/>
        <w:i w:val="false"/>
        <w:u w:val="none"/>
        <w:b w:val="false"/>
        <w:szCs w:val="20"/>
        <w:iCs w:val="false"/>
        <w:bCs w:val="false"/>
        <w:rFonts w:ascii="Times New Roman" w:hAnsi="Times New Roman" w:cs="Times New Roman"/>
        <w:color w:val="auto"/>
      </w:rPr>
    </w:lvl>
    <w:lvl w:ilvl="5">
      <w:start w:val="1"/>
      <w:numFmt w:val="lowerLetter"/>
      <w:lvlText w:val="%6)"/>
      <w:lvlJc w:val="left"/>
      <w:pPr>
        <w:tabs>
          <w:tab w:val="num" w:pos="0"/>
        </w:tabs>
        <w:ind w:left="2880" w:hanging="360"/>
      </w:pPr>
      <w:rPr>
        <w:dstrike w:val="false"/>
        <w:strike w:val="false"/>
        <w:sz w:val="20"/>
        <w:i w:val="false"/>
        <w:u w:val="none"/>
        <w:b w:val="false"/>
        <w:szCs w:val="20"/>
        <w:iCs w:val="false"/>
        <w:bCs w:val="false"/>
        <w:rFonts w:ascii="Times New Roman" w:hAnsi="Times New Roman" w:cs="Times New Roman"/>
        <w:color w:val="auto"/>
      </w:rPr>
    </w:lvl>
    <w:lvl w:ilvl="6">
      <w:start w:val="1"/>
      <w:numFmt w:val="lowerLetter"/>
      <w:lvlText w:val="%7)"/>
      <w:lvlJc w:val="left"/>
      <w:pPr>
        <w:tabs>
          <w:tab w:val="num" w:pos="0"/>
        </w:tabs>
        <w:ind w:left="3240" w:hanging="360"/>
      </w:pPr>
      <w:rPr>
        <w:dstrike w:val="false"/>
        <w:strike w:val="false"/>
        <w:sz w:val="20"/>
        <w:i w:val="false"/>
        <w:u w:val="none"/>
        <w:b w:val="false"/>
        <w:szCs w:val="20"/>
        <w:iCs w:val="false"/>
        <w:bCs w:val="false"/>
        <w:rFonts w:ascii="Times New Roman" w:hAnsi="Times New Roman" w:cs="Times New Roman"/>
        <w:color w:val="auto"/>
      </w:rPr>
    </w:lvl>
    <w:lvl w:ilvl="7">
      <w:start w:val="1"/>
      <w:numFmt w:val="lowerLetter"/>
      <w:lvlText w:val="%8)"/>
      <w:lvlJc w:val="left"/>
      <w:pPr>
        <w:tabs>
          <w:tab w:val="num" w:pos="0"/>
        </w:tabs>
        <w:ind w:left="3600" w:hanging="360"/>
      </w:pPr>
      <w:rPr>
        <w:dstrike w:val="false"/>
        <w:strike w:val="false"/>
        <w:sz w:val="20"/>
        <w:i w:val="false"/>
        <w:u w:val="none"/>
        <w:b w:val="false"/>
        <w:szCs w:val="20"/>
        <w:iCs w:val="false"/>
        <w:bCs w:val="false"/>
        <w:rFonts w:ascii="Times New Roman" w:hAnsi="Times New Roman" w:cs="Times New Roman"/>
        <w:color w:val="auto"/>
      </w:rPr>
    </w:lvl>
    <w:lvl w:ilvl="8">
      <w:start w:val="1"/>
      <w:numFmt w:val="lowerLetter"/>
      <w:lvlText w:val="%9)"/>
      <w:lvlJc w:val="left"/>
      <w:pPr>
        <w:tabs>
          <w:tab w:val="num" w:pos="0"/>
        </w:tabs>
        <w:ind w:left="3960" w:hanging="360"/>
      </w:pPr>
      <w:rPr>
        <w:dstrike w:val="false"/>
        <w:strike w:val="false"/>
        <w:sz w:val="20"/>
        <w:i w:val="false"/>
        <w:u w:val="none"/>
        <w:b w:val="false"/>
        <w:szCs w:val="20"/>
        <w:iCs w:val="false"/>
        <w:bCs w:val="false"/>
        <w:rFonts w:ascii="Times New Roman" w:hAnsi="Times New Roman" w:cs="Times New Roman"/>
        <w:color w:val="auto"/>
      </w:rPr>
    </w:lvl>
  </w:abstractNum>
  <w:abstractNum w:abstractNumId="2">
    <w:lvl w:ilvl="0">
      <w:start w:val="1"/>
      <w:numFmt w:val="decimal"/>
      <w:lvlText w:val="%1."/>
      <w:lvlJc w:val="left"/>
      <w:pPr>
        <w:tabs>
          <w:tab w:val="num" w:pos="0"/>
        </w:tabs>
        <w:ind w:left="1080" w:hanging="360"/>
      </w:pPr>
      <w:rPr>
        <w:dstrike w:val="false"/>
        <w:strike w:val="false"/>
        <w:sz w:val="20"/>
        <w:i w:val="false"/>
        <w:u w:val="none"/>
        <w:b w:val="false"/>
        <w:szCs w:val="20"/>
        <w:iCs w:val="false"/>
        <w:bCs w:val="false"/>
        <w:rFonts w:ascii="Times New Roman" w:hAnsi="Times New Roman" w:cs="Times New Roman"/>
        <w:color w:val="auto"/>
      </w:rPr>
    </w:lvl>
    <w:lvl w:ilvl="1">
      <w:start w:val="1"/>
      <w:numFmt w:val="decimal"/>
      <w:lvlText w:val="%2."/>
      <w:lvlJc w:val="left"/>
      <w:pPr>
        <w:tabs>
          <w:tab w:val="num" w:pos="0"/>
        </w:tabs>
        <w:ind w:left="1440" w:hanging="360"/>
      </w:pPr>
      <w:rPr>
        <w:dstrike w:val="false"/>
        <w:strike w:val="false"/>
        <w:sz w:val="20"/>
        <w:i w:val="false"/>
        <w:u w:val="none"/>
        <w:b w:val="false"/>
        <w:szCs w:val="20"/>
        <w:iCs w:val="false"/>
        <w:bCs w:val="false"/>
        <w:rFonts w:ascii="Times New Roman" w:hAnsi="Times New Roman" w:cs="Times New Roman"/>
        <w:color w:val="auto"/>
      </w:rPr>
    </w:lvl>
    <w:lvl w:ilvl="2">
      <w:start w:val="1"/>
      <w:numFmt w:val="decimal"/>
      <w:lvlText w:val="%3."/>
      <w:lvlJc w:val="left"/>
      <w:pPr>
        <w:tabs>
          <w:tab w:val="num" w:pos="0"/>
        </w:tabs>
        <w:ind w:left="1800" w:hanging="360"/>
      </w:pPr>
      <w:rPr>
        <w:dstrike w:val="false"/>
        <w:strike w:val="false"/>
        <w:sz w:val="20"/>
        <w:i w:val="false"/>
        <w:u w:val="none"/>
        <w:b w:val="false"/>
        <w:szCs w:val="20"/>
        <w:iCs w:val="false"/>
        <w:bCs w:val="false"/>
        <w:rFonts w:ascii="Times New Roman" w:hAnsi="Times New Roman" w:cs="Times New Roman"/>
        <w:color w:val="auto"/>
      </w:rPr>
    </w:lvl>
    <w:lvl w:ilvl="3">
      <w:start w:val="1"/>
      <w:numFmt w:val="decimal"/>
      <w:lvlText w:val="%4."/>
      <w:lvlJc w:val="left"/>
      <w:pPr>
        <w:tabs>
          <w:tab w:val="num" w:pos="0"/>
        </w:tabs>
        <w:ind w:left="2160" w:hanging="360"/>
      </w:pPr>
      <w:rPr>
        <w:dstrike w:val="false"/>
        <w:strike w:val="false"/>
        <w:sz w:val="20"/>
        <w:i w:val="false"/>
        <w:u w:val="none"/>
        <w:b w:val="false"/>
        <w:szCs w:val="20"/>
        <w:iCs w:val="false"/>
        <w:bCs w:val="false"/>
        <w:rFonts w:ascii="Times New Roman" w:hAnsi="Times New Roman" w:cs="Times New Roman"/>
        <w:color w:val="auto"/>
      </w:rPr>
    </w:lvl>
    <w:lvl w:ilvl="4">
      <w:start w:val="1"/>
      <w:numFmt w:val="decimal"/>
      <w:lvlText w:val="%5."/>
      <w:lvlJc w:val="left"/>
      <w:pPr>
        <w:tabs>
          <w:tab w:val="num" w:pos="0"/>
        </w:tabs>
        <w:ind w:left="2520" w:hanging="360"/>
      </w:pPr>
      <w:rPr>
        <w:dstrike w:val="false"/>
        <w:strike w:val="false"/>
        <w:sz w:val="20"/>
        <w:i w:val="false"/>
        <w:u w:val="none"/>
        <w:b w:val="false"/>
        <w:szCs w:val="20"/>
        <w:iCs w:val="false"/>
        <w:bCs w:val="false"/>
        <w:rFonts w:ascii="Times New Roman" w:hAnsi="Times New Roman" w:cs="Times New Roman"/>
        <w:color w:val="auto"/>
      </w:rPr>
    </w:lvl>
    <w:lvl w:ilvl="5">
      <w:start w:val="1"/>
      <w:numFmt w:val="decimal"/>
      <w:lvlText w:val="%6."/>
      <w:lvlJc w:val="left"/>
      <w:pPr>
        <w:tabs>
          <w:tab w:val="num" w:pos="0"/>
        </w:tabs>
        <w:ind w:left="2880" w:hanging="360"/>
      </w:pPr>
      <w:rPr>
        <w:dstrike w:val="false"/>
        <w:strike w:val="false"/>
        <w:sz w:val="20"/>
        <w:i w:val="false"/>
        <w:u w:val="none"/>
        <w:b w:val="false"/>
        <w:szCs w:val="20"/>
        <w:iCs w:val="false"/>
        <w:bCs w:val="false"/>
        <w:rFonts w:ascii="Times New Roman" w:hAnsi="Times New Roman" w:cs="Times New Roman"/>
        <w:color w:val="auto"/>
      </w:rPr>
    </w:lvl>
    <w:lvl w:ilvl="6">
      <w:start w:val="1"/>
      <w:numFmt w:val="decimal"/>
      <w:lvlText w:val="%7."/>
      <w:lvlJc w:val="left"/>
      <w:pPr>
        <w:tabs>
          <w:tab w:val="num" w:pos="0"/>
        </w:tabs>
        <w:ind w:left="3240" w:hanging="360"/>
      </w:pPr>
      <w:rPr>
        <w:dstrike w:val="false"/>
        <w:strike w:val="false"/>
        <w:sz w:val="20"/>
        <w:i w:val="false"/>
        <w:u w:val="none"/>
        <w:b w:val="false"/>
        <w:szCs w:val="20"/>
        <w:iCs w:val="false"/>
        <w:bCs w:val="false"/>
        <w:rFonts w:ascii="Times New Roman" w:hAnsi="Times New Roman" w:cs="Times New Roman"/>
        <w:color w:val="auto"/>
      </w:rPr>
    </w:lvl>
    <w:lvl w:ilvl="7">
      <w:start w:val="1"/>
      <w:numFmt w:val="decimal"/>
      <w:lvlText w:val="%8."/>
      <w:lvlJc w:val="left"/>
      <w:pPr>
        <w:tabs>
          <w:tab w:val="num" w:pos="0"/>
        </w:tabs>
        <w:ind w:left="3600" w:hanging="360"/>
      </w:pPr>
      <w:rPr>
        <w:dstrike w:val="false"/>
        <w:strike w:val="false"/>
        <w:sz w:val="20"/>
        <w:i w:val="false"/>
        <w:u w:val="none"/>
        <w:b w:val="false"/>
        <w:szCs w:val="20"/>
        <w:iCs w:val="false"/>
        <w:bCs w:val="false"/>
        <w:rFonts w:ascii="Times New Roman" w:hAnsi="Times New Roman" w:cs="Times New Roman"/>
        <w:color w:val="auto"/>
      </w:rPr>
    </w:lvl>
    <w:lvl w:ilvl="8">
      <w:start w:val="1"/>
      <w:numFmt w:val="decimal"/>
      <w:lvlText w:val="%9."/>
      <w:lvlJc w:val="left"/>
      <w:pPr>
        <w:tabs>
          <w:tab w:val="num" w:pos="0"/>
        </w:tabs>
        <w:ind w:left="3960" w:hanging="360"/>
      </w:pPr>
      <w:rPr>
        <w:dstrike w:val="false"/>
        <w:strike w:val="false"/>
        <w:sz w:val="20"/>
        <w:i w:val="false"/>
        <w:u w:val="none"/>
        <w:b w:val="false"/>
        <w:szCs w:val="20"/>
        <w:iCs w:val="false"/>
        <w:bCs w:val="false"/>
        <w:rFonts w:ascii="Times New Roman" w:hAnsi="Times New Roman" w:cs="Times New Roman"/>
        <w:color w:val="auto"/>
      </w:rPr>
    </w:lvl>
  </w:abstractNum>
  <w:abstractNum w:abstractNumId="3">
    <w:lvl w:ilvl="0">
      <w:start w:val="1"/>
      <w:numFmt w:val="decimal"/>
      <w:lvlText w:val="%1)"/>
      <w:lvlJc w:val="left"/>
      <w:pPr>
        <w:tabs>
          <w:tab w:val="num" w:pos="0"/>
        </w:tabs>
        <w:ind w:left="720" w:hanging="360"/>
      </w:pPr>
      <w:rPr>
        <w:dstrike w:val="false"/>
        <w:strike w:val="false"/>
        <w:sz w:val="20"/>
        <w:i w:val="false"/>
        <w:u w:val="none"/>
        <w:b w:val="false"/>
        <w:szCs w:val="20"/>
        <w:iCs w:val="false"/>
        <w:bCs w:val="false"/>
        <w:rFonts w:ascii="Times New Roman" w:hAnsi="Times New Roman" w:cs="Times New Roman"/>
        <w:color w:val="auto"/>
      </w:rPr>
    </w:lvl>
    <w:lvl w:ilvl="1">
      <w:start w:val="1"/>
      <w:numFmt w:val="decimal"/>
      <w:lvlText w:val="%2)"/>
      <w:lvlJc w:val="left"/>
      <w:pPr>
        <w:tabs>
          <w:tab w:val="num" w:pos="0"/>
        </w:tabs>
        <w:ind w:left="1080" w:hanging="360"/>
      </w:pPr>
      <w:rPr>
        <w:dstrike w:val="false"/>
        <w:strike w:val="false"/>
        <w:sz w:val="20"/>
        <w:i w:val="false"/>
        <w:u w:val="none"/>
        <w:b w:val="false"/>
        <w:szCs w:val="20"/>
        <w:iCs w:val="false"/>
        <w:bCs w:val="false"/>
        <w:rFonts w:ascii="Times New Roman" w:hAnsi="Times New Roman" w:cs="Times New Roman"/>
        <w:color w:val="auto"/>
      </w:rPr>
    </w:lvl>
    <w:lvl w:ilvl="2">
      <w:start w:val="1"/>
      <w:numFmt w:val="decimal"/>
      <w:lvlText w:val="%3)"/>
      <w:lvlJc w:val="left"/>
      <w:pPr>
        <w:tabs>
          <w:tab w:val="num" w:pos="0"/>
        </w:tabs>
        <w:ind w:left="1440" w:hanging="360"/>
      </w:pPr>
      <w:rPr>
        <w:dstrike w:val="false"/>
        <w:strike w:val="false"/>
        <w:sz w:val="20"/>
        <w:i w:val="false"/>
        <w:u w:val="none"/>
        <w:b w:val="false"/>
        <w:szCs w:val="20"/>
        <w:iCs w:val="false"/>
        <w:bCs w:val="false"/>
        <w:rFonts w:ascii="Times New Roman" w:hAnsi="Times New Roman" w:cs="Times New Roman"/>
        <w:color w:val="auto"/>
      </w:rPr>
    </w:lvl>
    <w:lvl w:ilvl="3">
      <w:start w:val="1"/>
      <w:numFmt w:val="decimal"/>
      <w:lvlText w:val="%4)"/>
      <w:lvlJc w:val="left"/>
      <w:pPr>
        <w:tabs>
          <w:tab w:val="num" w:pos="0"/>
        </w:tabs>
        <w:ind w:left="1800" w:hanging="360"/>
      </w:pPr>
      <w:rPr>
        <w:dstrike w:val="false"/>
        <w:strike w:val="false"/>
        <w:sz w:val="20"/>
        <w:i w:val="false"/>
        <w:u w:val="none"/>
        <w:b w:val="false"/>
        <w:szCs w:val="20"/>
        <w:iCs w:val="false"/>
        <w:bCs w:val="false"/>
        <w:rFonts w:ascii="Times New Roman" w:hAnsi="Times New Roman" w:cs="Times New Roman"/>
        <w:color w:val="auto"/>
      </w:rPr>
    </w:lvl>
    <w:lvl w:ilvl="4">
      <w:start w:val="1"/>
      <w:numFmt w:val="decimal"/>
      <w:lvlText w:val="%5)"/>
      <w:lvlJc w:val="left"/>
      <w:pPr>
        <w:tabs>
          <w:tab w:val="num" w:pos="0"/>
        </w:tabs>
        <w:ind w:left="2160" w:hanging="360"/>
      </w:pPr>
      <w:rPr>
        <w:dstrike w:val="false"/>
        <w:strike w:val="false"/>
        <w:sz w:val="20"/>
        <w:i w:val="false"/>
        <w:u w:val="none"/>
        <w:b w:val="false"/>
        <w:szCs w:val="20"/>
        <w:iCs w:val="false"/>
        <w:bCs w:val="false"/>
        <w:rFonts w:ascii="Times New Roman" w:hAnsi="Times New Roman" w:cs="Times New Roman"/>
        <w:color w:val="auto"/>
      </w:rPr>
    </w:lvl>
    <w:lvl w:ilvl="5">
      <w:start w:val="1"/>
      <w:numFmt w:val="decimal"/>
      <w:lvlText w:val="%6)"/>
      <w:lvlJc w:val="left"/>
      <w:pPr>
        <w:tabs>
          <w:tab w:val="num" w:pos="0"/>
        </w:tabs>
        <w:ind w:left="2520" w:hanging="360"/>
      </w:pPr>
      <w:rPr>
        <w:dstrike w:val="false"/>
        <w:strike w:val="false"/>
        <w:sz w:val="20"/>
        <w:i w:val="false"/>
        <w:u w:val="none"/>
        <w:b w:val="false"/>
        <w:szCs w:val="20"/>
        <w:iCs w:val="false"/>
        <w:bCs w:val="false"/>
        <w:rFonts w:ascii="Times New Roman" w:hAnsi="Times New Roman" w:cs="Times New Roman"/>
        <w:color w:val="auto"/>
      </w:rPr>
    </w:lvl>
    <w:lvl w:ilvl="6">
      <w:start w:val="1"/>
      <w:numFmt w:val="decimal"/>
      <w:lvlText w:val="%7)"/>
      <w:lvlJc w:val="left"/>
      <w:pPr>
        <w:tabs>
          <w:tab w:val="num" w:pos="0"/>
        </w:tabs>
        <w:ind w:left="2880" w:hanging="360"/>
      </w:pPr>
      <w:rPr>
        <w:dstrike w:val="false"/>
        <w:strike w:val="false"/>
        <w:sz w:val="20"/>
        <w:i w:val="false"/>
        <w:u w:val="none"/>
        <w:b w:val="false"/>
        <w:szCs w:val="20"/>
        <w:iCs w:val="false"/>
        <w:bCs w:val="false"/>
        <w:rFonts w:ascii="Times New Roman" w:hAnsi="Times New Roman" w:cs="Times New Roman"/>
        <w:color w:val="auto"/>
      </w:rPr>
    </w:lvl>
    <w:lvl w:ilvl="7">
      <w:start w:val="1"/>
      <w:numFmt w:val="decimal"/>
      <w:lvlText w:val="%8)"/>
      <w:lvlJc w:val="left"/>
      <w:pPr>
        <w:tabs>
          <w:tab w:val="num" w:pos="0"/>
        </w:tabs>
        <w:ind w:left="3240" w:hanging="360"/>
      </w:pPr>
      <w:rPr>
        <w:dstrike w:val="false"/>
        <w:strike w:val="false"/>
        <w:sz w:val="20"/>
        <w:i w:val="false"/>
        <w:u w:val="none"/>
        <w:b w:val="false"/>
        <w:szCs w:val="20"/>
        <w:iCs w:val="false"/>
        <w:bCs w:val="false"/>
        <w:rFonts w:ascii="Times New Roman" w:hAnsi="Times New Roman" w:cs="Times New Roman"/>
        <w:color w:val="auto"/>
      </w:rPr>
    </w:lvl>
    <w:lvl w:ilvl="8">
      <w:start w:val="1"/>
      <w:numFmt w:val="decimal"/>
      <w:lvlText w:val="%9)"/>
      <w:lvlJc w:val="left"/>
      <w:pPr>
        <w:tabs>
          <w:tab w:val="num" w:pos="0"/>
        </w:tabs>
        <w:ind w:left="3600" w:hanging="360"/>
      </w:pPr>
      <w:rPr>
        <w:dstrike w:val="false"/>
        <w:strike w:val="false"/>
        <w:sz w:val="20"/>
        <w:i w:val="false"/>
        <w:u w:val="none"/>
        <w:b w:val="false"/>
        <w:szCs w:val="20"/>
        <w:iCs w:val="false"/>
        <w:bCs w:val="false"/>
        <w:rFonts w:ascii="Times New Roman" w:hAnsi="Times New Roman" w:cs="Times New Roman"/>
        <w:color w:val="auto"/>
      </w:rPr>
    </w:lvl>
  </w:abstractNum>
  <w:abstractNum w:abstractNumId="4">
    <w:lvl w:ilvl="0">
      <w:start w:val="1"/>
      <w:numFmt w:val="bullet"/>
      <w:lvlText w:val=""/>
      <w:lvlJc w:val="left"/>
      <w:pPr>
        <w:tabs>
          <w:tab w:val="num" w:pos="0"/>
        </w:tabs>
        <w:ind w:left="473" w:firstLine="113"/>
      </w:pPr>
      <w:rPr>
        <w:rFonts w:ascii="Symbol" w:hAnsi="Symbol" w:cs="Symbol" w:hint="default"/>
        <w:dstrike w:val="false"/>
        <w:strike w:val="false"/>
        <w:sz w:val="24"/>
        <w:i w:val="false"/>
        <w:u w:val="none"/>
        <w:b w:val="false"/>
        <w:szCs w:val="24"/>
        <w:iCs w:val="false"/>
        <w:bCs w:val="false"/>
        <w:color w:val="auto"/>
      </w:rPr>
    </w:lvl>
    <w:lvl w:ilvl="1">
      <w:start w:val="1"/>
      <w:numFmt w:val="lowerLetter"/>
      <w:lvlText w:val="%2)"/>
      <w:lvlJc w:val="left"/>
      <w:pPr>
        <w:tabs>
          <w:tab w:val="num" w:pos="0"/>
        </w:tabs>
        <w:ind w:left="1440" w:hanging="360"/>
      </w:pPr>
      <w:rPr>
        <w:dstrike w:val="false"/>
        <w:strike w:val="false"/>
        <w:sz w:val="20"/>
        <w:i w:val="false"/>
        <w:u w:val="none"/>
        <w:b w:val="false"/>
        <w:szCs w:val="20"/>
        <w:iCs w:val="false"/>
        <w:bCs w:val="false"/>
        <w:rFonts w:ascii="Times New Roman" w:hAnsi="Times New Roman" w:cs="Times New Roman"/>
        <w:color w:val="auto"/>
      </w:rPr>
    </w:lvl>
    <w:lvl w:ilvl="2">
      <w:start w:val="1"/>
      <w:numFmt w:val="lowerLetter"/>
      <w:lvlText w:val="%3)"/>
      <w:lvlJc w:val="left"/>
      <w:pPr>
        <w:tabs>
          <w:tab w:val="num" w:pos="0"/>
        </w:tabs>
        <w:ind w:left="1800" w:hanging="360"/>
      </w:pPr>
      <w:rPr>
        <w:dstrike w:val="false"/>
        <w:strike w:val="false"/>
        <w:sz w:val="20"/>
        <w:i w:val="false"/>
        <w:u w:val="none"/>
        <w:b w:val="false"/>
        <w:szCs w:val="20"/>
        <w:iCs w:val="false"/>
        <w:bCs w:val="false"/>
        <w:rFonts w:ascii="Times New Roman" w:hAnsi="Times New Roman" w:cs="Times New Roman"/>
        <w:color w:val="auto"/>
      </w:rPr>
    </w:lvl>
    <w:lvl w:ilvl="3">
      <w:start w:val="1"/>
      <w:numFmt w:val="lowerLetter"/>
      <w:lvlText w:val="%4)"/>
      <w:lvlJc w:val="left"/>
      <w:pPr>
        <w:tabs>
          <w:tab w:val="num" w:pos="0"/>
        </w:tabs>
        <w:ind w:left="2160" w:hanging="360"/>
      </w:pPr>
      <w:rPr>
        <w:dstrike w:val="false"/>
        <w:strike w:val="false"/>
        <w:sz w:val="20"/>
        <w:i w:val="false"/>
        <w:u w:val="none"/>
        <w:b w:val="false"/>
        <w:szCs w:val="20"/>
        <w:iCs w:val="false"/>
        <w:bCs w:val="false"/>
        <w:rFonts w:ascii="Times New Roman" w:hAnsi="Times New Roman" w:cs="Times New Roman"/>
        <w:color w:val="auto"/>
      </w:rPr>
    </w:lvl>
    <w:lvl w:ilvl="4">
      <w:start w:val="1"/>
      <w:numFmt w:val="lowerLetter"/>
      <w:lvlText w:val="%5)"/>
      <w:lvlJc w:val="left"/>
      <w:pPr>
        <w:tabs>
          <w:tab w:val="num" w:pos="0"/>
        </w:tabs>
        <w:ind w:left="2520" w:hanging="360"/>
      </w:pPr>
      <w:rPr>
        <w:dstrike w:val="false"/>
        <w:strike w:val="false"/>
        <w:sz w:val="20"/>
        <w:i w:val="false"/>
        <w:u w:val="none"/>
        <w:b w:val="false"/>
        <w:szCs w:val="20"/>
        <w:iCs w:val="false"/>
        <w:bCs w:val="false"/>
        <w:rFonts w:ascii="Times New Roman" w:hAnsi="Times New Roman" w:cs="Times New Roman"/>
        <w:color w:val="auto"/>
      </w:rPr>
    </w:lvl>
    <w:lvl w:ilvl="5">
      <w:start w:val="1"/>
      <w:numFmt w:val="lowerLetter"/>
      <w:lvlText w:val="%6)"/>
      <w:lvlJc w:val="left"/>
      <w:pPr>
        <w:tabs>
          <w:tab w:val="num" w:pos="0"/>
        </w:tabs>
        <w:ind w:left="2880" w:hanging="360"/>
      </w:pPr>
      <w:rPr>
        <w:dstrike w:val="false"/>
        <w:strike w:val="false"/>
        <w:sz w:val="20"/>
        <w:i w:val="false"/>
        <w:u w:val="none"/>
        <w:b w:val="false"/>
        <w:szCs w:val="20"/>
        <w:iCs w:val="false"/>
        <w:bCs w:val="false"/>
        <w:rFonts w:ascii="Times New Roman" w:hAnsi="Times New Roman" w:cs="Times New Roman"/>
        <w:color w:val="auto"/>
      </w:rPr>
    </w:lvl>
    <w:lvl w:ilvl="6">
      <w:start w:val="1"/>
      <w:numFmt w:val="lowerLetter"/>
      <w:lvlText w:val="%7)"/>
      <w:lvlJc w:val="left"/>
      <w:pPr>
        <w:tabs>
          <w:tab w:val="num" w:pos="0"/>
        </w:tabs>
        <w:ind w:left="3240" w:hanging="360"/>
      </w:pPr>
      <w:rPr>
        <w:dstrike w:val="false"/>
        <w:strike w:val="false"/>
        <w:sz w:val="20"/>
        <w:i w:val="false"/>
        <w:u w:val="none"/>
        <w:b w:val="false"/>
        <w:szCs w:val="20"/>
        <w:iCs w:val="false"/>
        <w:bCs w:val="false"/>
        <w:rFonts w:ascii="Times New Roman" w:hAnsi="Times New Roman" w:cs="Times New Roman"/>
        <w:color w:val="auto"/>
      </w:rPr>
    </w:lvl>
    <w:lvl w:ilvl="7">
      <w:start w:val="1"/>
      <w:numFmt w:val="lowerLetter"/>
      <w:lvlText w:val="%8)"/>
      <w:lvlJc w:val="left"/>
      <w:pPr>
        <w:tabs>
          <w:tab w:val="num" w:pos="0"/>
        </w:tabs>
        <w:ind w:left="3600" w:hanging="360"/>
      </w:pPr>
      <w:rPr>
        <w:dstrike w:val="false"/>
        <w:strike w:val="false"/>
        <w:sz w:val="20"/>
        <w:i w:val="false"/>
        <w:u w:val="none"/>
        <w:b w:val="false"/>
        <w:szCs w:val="20"/>
        <w:iCs w:val="false"/>
        <w:bCs w:val="false"/>
        <w:rFonts w:ascii="Times New Roman" w:hAnsi="Times New Roman" w:cs="Times New Roman"/>
        <w:color w:val="auto"/>
      </w:rPr>
    </w:lvl>
    <w:lvl w:ilvl="8">
      <w:start w:val="1"/>
      <w:numFmt w:val="lowerLetter"/>
      <w:lvlText w:val="%9)"/>
      <w:lvlJc w:val="left"/>
      <w:pPr>
        <w:tabs>
          <w:tab w:val="num" w:pos="0"/>
        </w:tabs>
        <w:ind w:left="3960" w:hanging="360"/>
      </w:pPr>
      <w:rPr>
        <w:dstrike w:val="false"/>
        <w:strike w:val="false"/>
        <w:sz w:val="20"/>
        <w:i w:val="false"/>
        <w:u w:val="none"/>
        <w:b w:val="false"/>
        <w:szCs w:val="20"/>
        <w:iCs w:val="false"/>
        <w:bCs w:val="false"/>
        <w:rFonts w:ascii="Times New Roman" w:hAnsi="Times New Roman" w:cs="Times New Roman"/>
        <w:color w:val="auto"/>
      </w:rPr>
    </w:lvl>
  </w:abstractNum>
  <w:abstractNum w:abstractNumId="5">
    <w:lvl w:ilvl="0">
      <w:start w:val="1"/>
      <w:numFmt w:val="bullet"/>
      <w:lvlText w:val=""/>
      <w:lvlJc w:val="left"/>
      <w:pPr>
        <w:tabs>
          <w:tab w:val="num" w:pos="0"/>
        </w:tabs>
        <w:ind w:left="360" w:firstLine="113"/>
      </w:pPr>
      <w:rPr>
        <w:rFonts w:ascii="Symbol" w:hAnsi="Symbol" w:cs="Symbol" w:hint="default"/>
        <w:dstrike w:val="false"/>
        <w:strike w:val="false"/>
        <w:sz w:val="24"/>
        <w:i w:val="false"/>
        <w:u w:val="none"/>
        <w:b w:val="false"/>
        <w:szCs w:val="24"/>
        <w:iCs w:val="false"/>
        <w:bCs w:val="false"/>
        <w:color w:val="auto"/>
      </w:rPr>
    </w:lvl>
    <w:lvl w:ilvl="1">
      <w:start w:val="1"/>
      <w:numFmt w:val="lowerLetter"/>
      <w:lvlText w:val="%2)"/>
      <w:lvlJc w:val="left"/>
      <w:pPr>
        <w:tabs>
          <w:tab w:val="num" w:pos="0"/>
        </w:tabs>
        <w:ind w:left="1440" w:hanging="360"/>
      </w:pPr>
      <w:rPr>
        <w:dstrike w:val="false"/>
        <w:strike w:val="false"/>
        <w:sz w:val="20"/>
        <w:i w:val="false"/>
        <w:u w:val="none"/>
        <w:b w:val="false"/>
        <w:szCs w:val="20"/>
        <w:iCs w:val="false"/>
        <w:bCs w:val="false"/>
        <w:rFonts w:ascii="Times New Roman" w:hAnsi="Times New Roman" w:cs="Times New Roman"/>
        <w:color w:val="auto"/>
      </w:rPr>
    </w:lvl>
    <w:lvl w:ilvl="2">
      <w:start w:val="1"/>
      <w:numFmt w:val="lowerLetter"/>
      <w:lvlText w:val="%3)"/>
      <w:lvlJc w:val="left"/>
      <w:pPr>
        <w:tabs>
          <w:tab w:val="num" w:pos="0"/>
        </w:tabs>
        <w:ind w:left="1800" w:hanging="360"/>
      </w:pPr>
      <w:rPr>
        <w:dstrike w:val="false"/>
        <w:strike w:val="false"/>
        <w:sz w:val="20"/>
        <w:i w:val="false"/>
        <w:u w:val="none"/>
        <w:b w:val="false"/>
        <w:szCs w:val="20"/>
        <w:iCs w:val="false"/>
        <w:bCs w:val="false"/>
        <w:rFonts w:ascii="Times New Roman" w:hAnsi="Times New Roman" w:cs="Times New Roman"/>
        <w:color w:val="auto"/>
      </w:rPr>
    </w:lvl>
    <w:lvl w:ilvl="3">
      <w:start w:val="1"/>
      <w:numFmt w:val="lowerLetter"/>
      <w:lvlText w:val="%4)"/>
      <w:lvlJc w:val="left"/>
      <w:pPr>
        <w:tabs>
          <w:tab w:val="num" w:pos="0"/>
        </w:tabs>
        <w:ind w:left="2160" w:hanging="360"/>
      </w:pPr>
      <w:rPr>
        <w:dstrike w:val="false"/>
        <w:strike w:val="false"/>
        <w:sz w:val="20"/>
        <w:i w:val="false"/>
        <w:u w:val="none"/>
        <w:b w:val="false"/>
        <w:szCs w:val="20"/>
        <w:iCs w:val="false"/>
        <w:bCs w:val="false"/>
        <w:rFonts w:ascii="Times New Roman" w:hAnsi="Times New Roman" w:cs="Times New Roman"/>
        <w:color w:val="auto"/>
      </w:rPr>
    </w:lvl>
    <w:lvl w:ilvl="4">
      <w:start w:val="1"/>
      <w:numFmt w:val="lowerLetter"/>
      <w:lvlText w:val="%5)"/>
      <w:lvlJc w:val="left"/>
      <w:pPr>
        <w:tabs>
          <w:tab w:val="num" w:pos="0"/>
        </w:tabs>
        <w:ind w:left="2520" w:hanging="360"/>
      </w:pPr>
      <w:rPr>
        <w:dstrike w:val="false"/>
        <w:strike w:val="false"/>
        <w:sz w:val="20"/>
        <w:i w:val="false"/>
        <w:u w:val="none"/>
        <w:b w:val="false"/>
        <w:szCs w:val="20"/>
        <w:iCs w:val="false"/>
        <w:bCs w:val="false"/>
        <w:rFonts w:ascii="Times New Roman" w:hAnsi="Times New Roman" w:cs="Times New Roman"/>
        <w:color w:val="auto"/>
      </w:rPr>
    </w:lvl>
    <w:lvl w:ilvl="5">
      <w:start w:val="1"/>
      <w:numFmt w:val="lowerLetter"/>
      <w:lvlText w:val="%6)"/>
      <w:lvlJc w:val="left"/>
      <w:pPr>
        <w:tabs>
          <w:tab w:val="num" w:pos="0"/>
        </w:tabs>
        <w:ind w:left="2880" w:hanging="360"/>
      </w:pPr>
      <w:rPr>
        <w:dstrike w:val="false"/>
        <w:strike w:val="false"/>
        <w:sz w:val="20"/>
        <w:i w:val="false"/>
        <w:u w:val="none"/>
        <w:b w:val="false"/>
        <w:szCs w:val="20"/>
        <w:iCs w:val="false"/>
        <w:bCs w:val="false"/>
        <w:rFonts w:ascii="Times New Roman" w:hAnsi="Times New Roman" w:cs="Times New Roman"/>
        <w:color w:val="auto"/>
      </w:rPr>
    </w:lvl>
    <w:lvl w:ilvl="6">
      <w:start w:val="1"/>
      <w:numFmt w:val="lowerLetter"/>
      <w:lvlText w:val="%7)"/>
      <w:lvlJc w:val="left"/>
      <w:pPr>
        <w:tabs>
          <w:tab w:val="num" w:pos="0"/>
        </w:tabs>
        <w:ind w:left="3240" w:hanging="360"/>
      </w:pPr>
      <w:rPr>
        <w:dstrike w:val="false"/>
        <w:strike w:val="false"/>
        <w:sz w:val="20"/>
        <w:i w:val="false"/>
        <w:u w:val="none"/>
        <w:b w:val="false"/>
        <w:szCs w:val="20"/>
        <w:iCs w:val="false"/>
        <w:bCs w:val="false"/>
        <w:rFonts w:ascii="Times New Roman" w:hAnsi="Times New Roman" w:cs="Times New Roman"/>
        <w:color w:val="auto"/>
      </w:rPr>
    </w:lvl>
    <w:lvl w:ilvl="7">
      <w:start w:val="1"/>
      <w:numFmt w:val="lowerLetter"/>
      <w:lvlText w:val="%8)"/>
      <w:lvlJc w:val="left"/>
      <w:pPr>
        <w:tabs>
          <w:tab w:val="num" w:pos="0"/>
        </w:tabs>
        <w:ind w:left="3600" w:hanging="360"/>
      </w:pPr>
      <w:rPr>
        <w:dstrike w:val="false"/>
        <w:strike w:val="false"/>
        <w:sz w:val="20"/>
        <w:i w:val="false"/>
        <w:u w:val="none"/>
        <w:b w:val="false"/>
        <w:szCs w:val="20"/>
        <w:iCs w:val="false"/>
        <w:bCs w:val="false"/>
        <w:rFonts w:ascii="Times New Roman" w:hAnsi="Times New Roman" w:cs="Times New Roman"/>
        <w:color w:val="auto"/>
      </w:rPr>
    </w:lvl>
    <w:lvl w:ilvl="8">
      <w:start w:val="1"/>
      <w:numFmt w:val="lowerLetter"/>
      <w:lvlText w:val="%9)"/>
      <w:lvlJc w:val="left"/>
      <w:pPr>
        <w:tabs>
          <w:tab w:val="num" w:pos="0"/>
        </w:tabs>
        <w:ind w:left="3960" w:hanging="360"/>
      </w:pPr>
      <w:rPr>
        <w:dstrike w:val="false"/>
        <w:strike w:val="false"/>
        <w:sz w:val="20"/>
        <w:i w:val="false"/>
        <w:u w:val="none"/>
        <w:b w:val="false"/>
        <w:szCs w:val="20"/>
        <w:iCs w:val="false"/>
        <w:bCs w:val="false"/>
        <w:rFonts w:ascii="Times New Roman" w:hAnsi="Times New Roman" w:cs="Times New Roman"/>
        <w:color w:val="auto"/>
      </w:rPr>
    </w:lvl>
  </w:abstractNum>
  <w:abstractNum w:abstractNumId="6">
    <w:lvl w:ilvl="0">
      <w:start w:val="1"/>
      <w:numFmt w:val="bullet"/>
      <w:lvlText w:val=""/>
      <w:lvlJc w:val="left"/>
      <w:pPr>
        <w:tabs>
          <w:tab w:val="num" w:pos="0"/>
        </w:tabs>
        <w:ind w:left="720" w:hanging="360"/>
      </w:pPr>
      <w:rPr>
        <w:rFonts w:ascii="Symbol" w:hAnsi="Symbol" w:cs="Symbol" w:hint="default"/>
        <w:dstrike w:val="false"/>
        <w:strike w:val="false"/>
        <w:sz w:val="24"/>
        <w:i w:val="false"/>
        <w:u w:val="none"/>
        <w:b w:val="false"/>
        <w:szCs w:val="24"/>
        <w:iCs w:val="false"/>
        <w:bCs w:val="false"/>
        <w:color w:val="auto"/>
      </w:rPr>
    </w:lvl>
    <w:lvl w:ilvl="1">
      <w:start w:val="1"/>
      <w:numFmt w:val="lowerLetter"/>
      <w:lvlText w:val="%2)"/>
      <w:lvlJc w:val="left"/>
      <w:pPr>
        <w:tabs>
          <w:tab w:val="num" w:pos="0"/>
        </w:tabs>
        <w:ind w:left="1440" w:hanging="360"/>
      </w:pPr>
      <w:rPr>
        <w:dstrike w:val="false"/>
        <w:strike w:val="false"/>
        <w:sz w:val="20"/>
        <w:i w:val="false"/>
        <w:u w:val="none"/>
        <w:b w:val="false"/>
        <w:szCs w:val="20"/>
        <w:iCs w:val="false"/>
        <w:bCs w:val="false"/>
        <w:rFonts w:ascii="Times New Roman" w:hAnsi="Times New Roman" w:cs="Times New Roman"/>
        <w:color w:val="auto"/>
      </w:rPr>
    </w:lvl>
    <w:lvl w:ilvl="2">
      <w:start w:val="1"/>
      <w:numFmt w:val="lowerLetter"/>
      <w:lvlText w:val="%3)"/>
      <w:lvlJc w:val="left"/>
      <w:pPr>
        <w:tabs>
          <w:tab w:val="num" w:pos="0"/>
        </w:tabs>
        <w:ind w:left="1800" w:hanging="360"/>
      </w:pPr>
      <w:rPr>
        <w:dstrike w:val="false"/>
        <w:strike w:val="false"/>
        <w:sz w:val="20"/>
        <w:i w:val="false"/>
        <w:u w:val="none"/>
        <w:b w:val="false"/>
        <w:szCs w:val="20"/>
        <w:iCs w:val="false"/>
        <w:bCs w:val="false"/>
        <w:rFonts w:ascii="Times New Roman" w:hAnsi="Times New Roman" w:cs="Times New Roman"/>
        <w:color w:val="auto"/>
      </w:rPr>
    </w:lvl>
    <w:lvl w:ilvl="3">
      <w:start w:val="1"/>
      <w:numFmt w:val="lowerLetter"/>
      <w:lvlText w:val="%4)"/>
      <w:lvlJc w:val="left"/>
      <w:pPr>
        <w:tabs>
          <w:tab w:val="num" w:pos="0"/>
        </w:tabs>
        <w:ind w:left="2160" w:hanging="360"/>
      </w:pPr>
      <w:rPr>
        <w:dstrike w:val="false"/>
        <w:strike w:val="false"/>
        <w:sz w:val="20"/>
        <w:i w:val="false"/>
        <w:u w:val="none"/>
        <w:b w:val="false"/>
        <w:szCs w:val="20"/>
        <w:iCs w:val="false"/>
        <w:bCs w:val="false"/>
        <w:rFonts w:ascii="Times New Roman" w:hAnsi="Times New Roman" w:cs="Times New Roman"/>
        <w:color w:val="auto"/>
      </w:rPr>
    </w:lvl>
    <w:lvl w:ilvl="4">
      <w:start w:val="1"/>
      <w:numFmt w:val="lowerLetter"/>
      <w:lvlText w:val="%5)"/>
      <w:lvlJc w:val="left"/>
      <w:pPr>
        <w:tabs>
          <w:tab w:val="num" w:pos="0"/>
        </w:tabs>
        <w:ind w:left="2520" w:hanging="360"/>
      </w:pPr>
      <w:rPr>
        <w:dstrike w:val="false"/>
        <w:strike w:val="false"/>
        <w:sz w:val="20"/>
        <w:i w:val="false"/>
        <w:u w:val="none"/>
        <w:b w:val="false"/>
        <w:szCs w:val="20"/>
        <w:iCs w:val="false"/>
        <w:bCs w:val="false"/>
        <w:rFonts w:ascii="Times New Roman" w:hAnsi="Times New Roman" w:cs="Times New Roman"/>
        <w:color w:val="auto"/>
      </w:rPr>
    </w:lvl>
    <w:lvl w:ilvl="5">
      <w:start w:val="1"/>
      <w:numFmt w:val="lowerLetter"/>
      <w:lvlText w:val="%6)"/>
      <w:lvlJc w:val="left"/>
      <w:pPr>
        <w:tabs>
          <w:tab w:val="num" w:pos="0"/>
        </w:tabs>
        <w:ind w:left="2880" w:hanging="360"/>
      </w:pPr>
      <w:rPr>
        <w:dstrike w:val="false"/>
        <w:strike w:val="false"/>
        <w:sz w:val="20"/>
        <w:i w:val="false"/>
        <w:u w:val="none"/>
        <w:b w:val="false"/>
        <w:szCs w:val="20"/>
        <w:iCs w:val="false"/>
        <w:bCs w:val="false"/>
        <w:rFonts w:ascii="Times New Roman" w:hAnsi="Times New Roman" w:cs="Times New Roman"/>
        <w:color w:val="auto"/>
      </w:rPr>
    </w:lvl>
    <w:lvl w:ilvl="6">
      <w:start w:val="1"/>
      <w:numFmt w:val="lowerLetter"/>
      <w:lvlText w:val="%7)"/>
      <w:lvlJc w:val="left"/>
      <w:pPr>
        <w:tabs>
          <w:tab w:val="num" w:pos="0"/>
        </w:tabs>
        <w:ind w:left="3240" w:hanging="360"/>
      </w:pPr>
      <w:rPr>
        <w:dstrike w:val="false"/>
        <w:strike w:val="false"/>
        <w:sz w:val="20"/>
        <w:i w:val="false"/>
        <w:u w:val="none"/>
        <w:b w:val="false"/>
        <w:szCs w:val="20"/>
        <w:iCs w:val="false"/>
        <w:bCs w:val="false"/>
        <w:rFonts w:ascii="Times New Roman" w:hAnsi="Times New Roman" w:cs="Times New Roman"/>
        <w:color w:val="auto"/>
      </w:rPr>
    </w:lvl>
    <w:lvl w:ilvl="7">
      <w:start w:val="1"/>
      <w:numFmt w:val="lowerLetter"/>
      <w:lvlText w:val="%8)"/>
      <w:lvlJc w:val="left"/>
      <w:pPr>
        <w:tabs>
          <w:tab w:val="num" w:pos="0"/>
        </w:tabs>
        <w:ind w:left="3600" w:hanging="360"/>
      </w:pPr>
      <w:rPr>
        <w:dstrike w:val="false"/>
        <w:strike w:val="false"/>
        <w:sz w:val="20"/>
        <w:i w:val="false"/>
        <w:u w:val="none"/>
        <w:b w:val="false"/>
        <w:szCs w:val="20"/>
        <w:iCs w:val="false"/>
        <w:bCs w:val="false"/>
        <w:rFonts w:ascii="Times New Roman" w:hAnsi="Times New Roman" w:cs="Times New Roman"/>
        <w:color w:val="auto"/>
      </w:rPr>
    </w:lvl>
    <w:lvl w:ilvl="8">
      <w:start w:val="1"/>
      <w:numFmt w:val="lowerLetter"/>
      <w:lvlText w:val="%9)"/>
      <w:lvlJc w:val="left"/>
      <w:pPr>
        <w:tabs>
          <w:tab w:val="num" w:pos="0"/>
        </w:tabs>
        <w:ind w:left="3960" w:hanging="360"/>
      </w:pPr>
      <w:rPr>
        <w:dstrike w:val="false"/>
        <w:strike w:val="false"/>
        <w:sz w:val="20"/>
        <w:i w:val="false"/>
        <w:u w:val="none"/>
        <w:b w:val="false"/>
        <w:szCs w:val="20"/>
        <w:iCs w:val="false"/>
        <w:bCs w:val="false"/>
        <w:rFonts w:ascii="Times New Roman" w:hAnsi="Times New Roman" w:cs="Times New Roman"/>
        <w:color w:val="auto"/>
      </w:rPr>
    </w:lvl>
  </w:abstractNum>
  <w:abstractNum w:abstractNumId="7">
    <w:lvl w:ilvl="0">
      <w:start w:val="1"/>
      <w:numFmt w:val="bullet"/>
      <w:lvlText w:val=""/>
      <w:lvlJc w:val="left"/>
      <w:pPr>
        <w:tabs>
          <w:tab w:val="num" w:pos="0"/>
        </w:tabs>
        <w:ind w:left="720" w:hanging="360"/>
      </w:pPr>
      <w:rPr>
        <w:rFonts w:ascii="Symbol" w:hAnsi="Symbol" w:cs="Symbol" w:hint="default"/>
        <w:dstrike w:val="false"/>
        <w:strike w:val="false"/>
        <w:sz w:val="24"/>
        <w:i w:val="false"/>
        <w:u w:val="none"/>
        <w:b w:val="false"/>
        <w:szCs w:val="24"/>
        <w:iCs w:val="false"/>
        <w:bCs w:val="false"/>
        <w:color w:val="auto"/>
      </w:rPr>
    </w:lvl>
    <w:lvl w:ilvl="1">
      <w:start w:val="1"/>
      <w:numFmt w:val="lowerLetter"/>
      <w:lvlText w:val="%2)"/>
      <w:lvlJc w:val="left"/>
      <w:pPr>
        <w:tabs>
          <w:tab w:val="num" w:pos="0"/>
        </w:tabs>
        <w:ind w:left="1440" w:hanging="360"/>
      </w:pPr>
      <w:rPr>
        <w:dstrike w:val="false"/>
        <w:strike w:val="false"/>
        <w:sz w:val="20"/>
        <w:i w:val="false"/>
        <w:u w:val="none"/>
        <w:b w:val="false"/>
        <w:szCs w:val="20"/>
        <w:iCs w:val="false"/>
        <w:bCs w:val="false"/>
        <w:rFonts w:ascii="Times New Roman" w:hAnsi="Times New Roman" w:cs="Times New Roman"/>
        <w:color w:val="auto"/>
      </w:rPr>
    </w:lvl>
    <w:lvl w:ilvl="2">
      <w:start w:val="1"/>
      <w:numFmt w:val="lowerLetter"/>
      <w:lvlText w:val="%3)"/>
      <w:lvlJc w:val="left"/>
      <w:pPr>
        <w:tabs>
          <w:tab w:val="num" w:pos="0"/>
        </w:tabs>
        <w:ind w:left="1800" w:hanging="360"/>
      </w:pPr>
      <w:rPr>
        <w:dstrike w:val="false"/>
        <w:strike w:val="false"/>
        <w:sz w:val="20"/>
        <w:i w:val="false"/>
        <w:u w:val="none"/>
        <w:b w:val="false"/>
        <w:szCs w:val="20"/>
        <w:iCs w:val="false"/>
        <w:bCs w:val="false"/>
        <w:rFonts w:ascii="Times New Roman" w:hAnsi="Times New Roman" w:cs="Times New Roman"/>
        <w:color w:val="auto"/>
      </w:rPr>
    </w:lvl>
    <w:lvl w:ilvl="3">
      <w:start w:val="1"/>
      <w:numFmt w:val="lowerLetter"/>
      <w:lvlText w:val="%4)"/>
      <w:lvlJc w:val="left"/>
      <w:pPr>
        <w:tabs>
          <w:tab w:val="num" w:pos="0"/>
        </w:tabs>
        <w:ind w:left="2160" w:hanging="360"/>
      </w:pPr>
      <w:rPr>
        <w:dstrike w:val="false"/>
        <w:strike w:val="false"/>
        <w:sz w:val="20"/>
        <w:i w:val="false"/>
        <w:u w:val="none"/>
        <w:b w:val="false"/>
        <w:szCs w:val="20"/>
        <w:iCs w:val="false"/>
        <w:bCs w:val="false"/>
        <w:rFonts w:ascii="Times New Roman" w:hAnsi="Times New Roman" w:cs="Times New Roman"/>
        <w:color w:val="auto"/>
      </w:rPr>
    </w:lvl>
    <w:lvl w:ilvl="4">
      <w:start w:val="1"/>
      <w:numFmt w:val="lowerLetter"/>
      <w:lvlText w:val="%5)"/>
      <w:lvlJc w:val="left"/>
      <w:pPr>
        <w:tabs>
          <w:tab w:val="num" w:pos="0"/>
        </w:tabs>
        <w:ind w:left="2520" w:hanging="360"/>
      </w:pPr>
      <w:rPr>
        <w:dstrike w:val="false"/>
        <w:strike w:val="false"/>
        <w:sz w:val="20"/>
        <w:i w:val="false"/>
        <w:u w:val="none"/>
        <w:b w:val="false"/>
        <w:szCs w:val="20"/>
        <w:iCs w:val="false"/>
        <w:bCs w:val="false"/>
        <w:rFonts w:ascii="Times New Roman" w:hAnsi="Times New Roman" w:cs="Times New Roman"/>
        <w:color w:val="auto"/>
      </w:rPr>
    </w:lvl>
    <w:lvl w:ilvl="5">
      <w:start w:val="1"/>
      <w:numFmt w:val="lowerLetter"/>
      <w:lvlText w:val="%6)"/>
      <w:lvlJc w:val="left"/>
      <w:pPr>
        <w:tabs>
          <w:tab w:val="num" w:pos="0"/>
        </w:tabs>
        <w:ind w:left="2880" w:hanging="360"/>
      </w:pPr>
      <w:rPr>
        <w:dstrike w:val="false"/>
        <w:strike w:val="false"/>
        <w:sz w:val="20"/>
        <w:i w:val="false"/>
        <w:u w:val="none"/>
        <w:b w:val="false"/>
        <w:szCs w:val="20"/>
        <w:iCs w:val="false"/>
        <w:bCs w:val="false"/>
        <w:rFonts w:ascii="Times New Roman" w:hAnsi="Times New Roman" w:cs="Times New Roman"/>
        <w:color w:val="auto"/>
      </w:rPr>
    </w:lvl>
    <w:lvl w:ilvl="6">
      <w:start w:val="1"/>
      <w:numFmt w:val="lowerLetter"/>
      <w:lvlText w:val="%7)"/>
      <w:lvlJc w:val="left"/>
      <w:pPr>
        <w:tabs>
          <w:tab w:val="num" w:pos="0"/>
        </w:tabs>
        <w:ind w:left="3240" w:hanging="360"/>
      </w:pPr>
      <w:rPr>
        <w:dstrike w:val="false"/>
        <w:strike w:val="false"/>
        <w:sz w:val="20"/>
        <w:i w:val="false"/>
        <w:u w:val="none"/>
        <w:b w:val="false"/>
        <w:szCs w:val="20"/>
        <w:iCs w:val="false"/>
        <w:bCs w:val="false"/>
        <w:rFonts w:ascii="Times New Roman" w:hAnsi="Times New Roman" w:cs="Times New Roman"/>
        <w:color w:val="auto"/>
      </w:rPr>
    </w:lvl>
    <w:lvl w:ilvl="7">
      <w:start w:val="1"/>
      <w:numFmt w:val="lowerLetter"/>
      <w:lvlText w:val="%8)"/>
      <w:lvlJc w:val="left"/>
      <w:pPr>
        <w:tabs>
          <w:tab w:val="num" w:pos="0"/>
        </w:tabs>
        <w:ind w:left="3600" w:hanging="360"/>
      </w:pPr>
      <w:rPr>
        <w:dstrike w:val="false"/>
        <w:strike w:val="false"/>
        <w:sz w:val="20"/>
        <w:i w:val="false"/>
        <w:u w:val="none"/>
        <w:b w:val="false"/>
        <w:szCs w:val="20"/>
        <w:iCs w:val="false"/>
        <w:bCs w:val="false"/>
        <w:rFonts w:ascii="Times New Roman" w:hAnsi="Times New Roman" w:cs="Times New Roman"/>
        <w:color w:val="auto"/>
      </w:rPr>
    </w:lvl>
    <w:lvl w:ilvl="8">
      <w:start w:val="1"/>
      <w:numFmt w:val="lowerLetter"/>
      <w:lvlText w:val="%9)"/>
      <w:lvlJc w:val="left"/>
      <w:pPr>
        <w:tabs>
          <w:tab w:val="num" w:pos="0"/>
        </w:tabs>
        <w:ind w:left="3960" w:hanging="360"/>
      </w:pPr>
      <w:rPr>
        <w:dstrike w:val="false"/>
        <w:strike w:val="false"/>
        <w:sz w:val="20"/>
        <w:i w:val="false"/>
        <w:u w:val="none"/>
        <w:b w:val="false"/>
        <w:szCs w:val="20"/>
        <w:iCs w:val="false"/>
        <w:bCs w:val="false"/>
        <w:rFonts w:ascii="Times New Roman" w:hAnsi="Times New Roman" w:cs="Times New Roman"/>
        <w:color w:val="auto"/>
      </w:rPr>
    </w:lvl>
  </w:abstractNum>
  <w:abstractNum w:abstractNumId="8">
    <w:lvl w:ilvl="0">
      <w:start w:val="1"/>
      <w:numFmt w:val="bullet"/>
      <w:lvlText w:val=""/>
      <w:lvlJc w:val="left"/>
      <w:pPr>
        <w:tabs>
          <w:tab w:val="num" w:pos="0"/>
        </w:tabs>
        <w:ind w:left="720" w:hanging="360"/>
      </w:pPr>
      <w:rPr>
        <w:rFonts w:ascii="Symbol" w:hAnsi="Symbol" w:cs="Symbol" w:hint="default"/>
        <w:dstrike w:val="false"/>
        <w:strike w:val="false"/>
        <w:sz w:val="24"/>
        <w:i w:val="false"/>
        <w:u w:val="none"/>
        <w:b w:val="false"/>
        <w:szCs w:val="24"/>
        <w:iCs w:val="false"/>
        <w:bCs w:val="false"/>
        <w:color w:val="auto"/>
      </w:rPr>
    </w:lvl>
    <w:lvl w:ilvl="1">
      <w:start w:val="1"/>
      <w:numFmt w:val="lowerLetter"/>
      <w:lvlText w:val="%2)"/>
      <w:lvlJc w:val="left"/>
      <w:pPr>
        <w:tabs>
          <w:tab w:val="num" w:pos="0"/>
        </w:tabs>
        <w:ind w:left="1440" w:hanging="360"/>
      </w:pPr>
      <w:rPr>
        <w:dstrike w:val="false"/>
        <w:strike w:val="false"/>
        <w:sz w:val="20"/>
        <w:i w:val="false"/>
        <w:u w:val="none"/>
        <w:b w:val="false"/>
        <w:szCs w:val="20"/>
        <w:iCs w:val="false"/>
        <w:bCs w:val="false"/>
        <w:rFonts w:ascii="Times New Roman" w:hAnsi="Times New Roman" w:cs="Times New Roman"/>
        <w:color w:val="auto"/>
      </w:rPr>
    </w:lvl>
    <w:lvl w:ilvl="2">
      <w:start w:val="1"/>
      <w:numFmt w:val="lowerLetter"/>
      <w:lvlText w:val="%3)"/>
      <w:lvlJc w:val="left"/>
      <w:pPr>
        <w:tabs>
          <w:tab w:val="num" w:pos="0"/>
        </w:tabs>
        <w:ind w:left="1800" w:hanging="360"/>
      </w:pPr>
      <w:rPr>
        <w:dstrike w:val="false"/>
        <w:strike w:val="false"/>
        <w:sz w:val="20"/>
        <w:i w:val="false"/>
        <w:u w:val="none"/>
        <w:b w:val="false"/>
        <w:szCs w:val="20"/>
        <w:iCs w:val="false"/>
        <w:bCs w:val="false"/>
        <w:rFonts w:ascii="Times New Roman" w:hAnsi="Times New Roman" w:cs="Times New Roman"/>
        <w:color w:val="auto"/>
      </w:rPr>
    </w:lvl>
    <w:lvl w:ilvl="3">
      <w:start w:val="1"/>
      <w:numFmt w:val="lowerLetter"/>
      <w:lvlText w:val="%4)"/>
      <w:lvlJc w:val="left"/>
      <w:pPr>
        <w:tabs>
          <w:tab w:val="num" w:pos="0"/>
        </w:tabs>
        <w:ind w:left="2160" w:hanging="360"/>
      </w:pPr>
      <w:rPr>
        <w:dstrike w:val="false"/>
        <w:strike w:val="false"/>
        <w:sz w:val="20"/>
        <w:i w:val="false"/>
        <w:u w:val="none"/>
        <w:b w:val="false"/>
        <w:szCs w:val="20"/>
        <w:iCs w:val="false"/>
        <w:bCs w:val="false"/>
        <w:rFonts w:ascii="Times New Roman" w:hAnsi="Times New Roman" w:cs="Times New Roman"/>
        <w:color w:val="auto"/>
      </w:rPr>
    </w:lvl>
    <w:lvl w:ilvl="4">
      <w:start w:val="1"/>
      <w:numFmt w:val="lowerLetter"/>
      <w:lvlText w:val="%5)"/>
      <w:lvlJc w:val="left"/>
      <w:pPr>
        <w:tabs>
          <w:tab w:val="num" w:pos="0"/>
        </w:tabs>
        <w:ind w:left="2520" w:hanging="360"/>
      </w:pPr>
      <w:rPr>
        <w:dstrike w:val="false"/>
        <w:strike w:val="false"/>
        <w:sz w:val="20"/>
        <w:i w:val="false"/>
        <w:u w:val="none"/>
        <w:b w:val="false"/>
        <w:szCs w:val="20"/>
        <w:iCs w:val="false"/>
        <w:bCs w:val="false"/>
        <w:rFonts w:ascii="Times New Roman" w:hAnsi="Times New Roman" w:cs="Times New Roman"/>
        <w:color w:val="auto"/>
      </w:rPr>
    </w:lvl>
    <w:lvl w:ilvl="5">
      <w:start w:val="1"/>
      <w:numFmt w:val="lowerLetter"/>
      <w:lvlText w:val="%6)"/>
      <w:lvlJc w:val="left"/>
      <w:pPr>
        <w:tabs>
          <w:tab w:val="num" w:pos="0"/>
        </w:tabs>
        <w:ind w:left="2880" w:hanging="360"/>
      </w:pPr>
      <w:rPr>
        <w:dstrike w:val="false"/>
        <w:strike w:val="false"/>
        <w:sz w:val="20"/>
        <w:i w:val="false"/>
        <w:u w:val="none"/>
        <w:b w:val="false"/>
        <w:szCs w:val="20"/>
        <w:iCs w:val="false"/>
        <w:bCs w:val="false"/>
        <w:rFonts w:ascii="Times New Roman" w:hAnsi="Times New Roman" w:cs="Times New Roman"/>
        <w:color w:val="auto"/>
      </w:rPr>
    </w:lvl>
    <w:lvl w:ilvl="6">
      <w:start w:val="1"/>
      <w:numFmt w:val="lowerLetter"/>
      <w:lvlText w:val="%7)"/>
      <w:lvlJc w:val="left"/>
      <w:pPr>
        <w:tabs>
          <w:tab w:val="num" w:pos="0"/>
        </w:tabs>
        <w:ind w:left="3240" w:hanging="360"/>
      </w:pPr>
      <w:rPr>
        <w:dstrike w:val="false"/>
        <w:strike w:val="false"/>
        <w:sz w:val="20"/>
        <w:i w:val="false"/>
        <w:u w:val="none"/>
        <w:b w:val="false"/>
        <w:szCs w:val="20"/>
        <w:iCs w:val="false"/>
        <w:bCs w:val="false"/>
        <w:rFonts w:ascii="Times New Roman" w:hAnsi="Times New Roman" w:cs="Times New Roman"/>
        <w:color w:val="auto"/>
      </w:rPr>
    </w:lvl>
    <w:lvl w:ilvl="7">
      <w:start w:val="1"/>
      <w:numFmt w:val="lowerLetter"/>
      <w:lvlText w:val="%8)"/>
      <w:lvlJc w:val="left"/>
      <w:pPr>
        <w:tabs>
          <w:tab w:val="num" w:pos="0"/>
        </w:tabs>
        <w:ind w:left="3600" w:hanging="360"/>
      </w:pPr>
      <w:rPr>
        <w:dstrike w:val="false"/>
        <w:strike w:val="false"/>
        <w:sz w:val="20"/>
        <w:i w:val="false"/>
        <w:u w:val="none"/>
        <w:b w:val="false"/>
        <w:szCs w:val="20"/>
        <w:iCs w:val="false"/>
        <w:bCs w:val="false"/>
        <w:rFonts w:ascii="Times New Roman" w:hAnsi="Times New Roman" w:cs="Times New Roman"/>
        <w:color w:val="auto"/>
      </w:rPr>
    </w:lvl>
    <w:lvl w:ilvl="8">
      <w:start w:val="1"/>
      <w:numFmt w:val="lowerLetter"/>
      <w:lvlText w:val="%9)"/>
      <w:lvlJc w:val="left"/>
      <w:pPr>
        <w:tabs>
          <w:tab w:val="num" w:pos="0"/>
        </w:tabs>
        <w:ind w:left="3960" w:hanging="360"/>
      </w:pPr>
      <w:rPr>
        <w:dstrike w:val="false"/>
        <w:strike w:val="false"/>
        <w:sz w:val="20"/>
        <w:i w:val="false"/>
        <w:u w:val="none"/>
        <w:b w:val="false"/>
        <w:szCs w:val="20"/>
        <w:iCs w:val="false"/>
        <w:bCs w:val="false"/>
        <w:rFonts w:ascii="Times New Roman" w:hAnsi="Times New Roman" w:cs="Times New Roman"/>
        <w:color w:val="auto"/>
      </w:rPr>
    </w:lvl>
  </w:abstractNum>
  <w:abstractNum w:abstractNumId="9">
    <w:lvl w:ilvl="0">
      <w:start w:val="1"/>
      <w:numFmt w:val="decimal"/>
      <w:lvlText w:val="%1."/>
      <w:lvlJc w:val="left"/>
      <w:pPr>
        <w:tabs>
          <w:tab w:val="num" w:pos="0"/>
        </w:tabs>
        <w:ind w:left="720" w:hanging="360"/>
      </w:pPr>
      <w:rPr>
        <w:dstrike w:val="false"/>
        <w:strike w:val="false"/>
        <w:sz w:val="20"/>
        <w:i w:val="false"/>
        <w:u w:val="single"/>
        <w:b/>
        <w:szCs w:val="20"/>
        <w:iCs w:val="false"/>
        <w:bCs/>
        <w:rFonts w:ascii="Times New Roman" w:hAnsi="Times New Roman" w:cs="Times New Roman"/>
        <w:color w:val="auto"/>
      </w:rPr>
    </w:lvl>
    <w:lvl w:ilvl="1">
      <w:start w:val="1"/>
      <w:numFmt w:val="decimal"/>
      <w:lvlText w:val="%2."/>
      <w:lvlJc w:val="left"/>
      <w:pPr>
        <w:tabs>
          <w:tab w:val="num" w:pos="0"/>
        </w:tabs>
        <w:ind w:left="1080" w:hanging="360"/>
      </w:pPr>
      <w:rPr>
        <w:dstrike w:val="false"/>
        <w:strike w:val="false"/>
        <w:sz w:val="20"/>
        <w:i w:val="false"/>
        <w:u w:val="single"/>
        <w:b/>
        <w:szCs w:val="20"/>
        <w:iCs w:val="false"/>
        <w:bCs/>
        <w:rFonts w:ascii="Times New Roman" w:hAnsi="Times New Roman" w:cs="Times New Roman"/>
        <w:color w:val="auto"/>
      </w:rPr>
    </w:lvl>
    <w:lvl w:ilvl="2">
      <w:start w:val="1"/>
      <w:numFmt w:val="decimal"/>
      <w:lvlText w:val="%3."/>
      <w:lvlJc w:val="left"/>
      <w:pPr>
        <w:tabs>
          <w:tab w:val="num" w:pos="0"/>
        </w:tabs>
        <w:ind w:left="1440" w:hanging="360"/>
      </w:pPr>
      <w:rPr>
        <w:dstrike w:val="false"/>
        <w:strike w:val="false"/>
        <w:sz w:val="20"/>
        <w:i w:val="false"/>
        <w:u w:val="single"/>
        <w:b/>
        <w:szCs w:val="20"/>
        <w:iCs w:val="false"/>
        <w:bCs/>
        <w:rFonts w:ascii="Times New Roman" w:hAnsi="Times New Roman" w:cs="Times New Roman"/>
        <w:color w:val="auto"/>
      </w:rPr>
    </w:lvl>
    <w:lvl w:ilvl="3">
      <w:start w:val="1"/>
      <w:numFmt w:val="decimal"/>
      <w:lvlText w:val="%4."/>
      <w:lvlJc w:val="left"/>
      <w:pPr>
        <w:tabs>
          <w:tab w:val="num" w:pos="0"/>
        </w:tabs>
        <w:ind w:left="1800" w:hanging="360"/>
      </w:pPr>
      <w:rPr>
        <w:dstrike w:val="false"/>
        <w:strike w:val="false"/>
        <w:sz w:val="20"/>
        <w:i w:val="false"/>
        <w:u w:val="single"/>
        <w:b/>
        <w:szCs w:val="20"/>
        <w:iCs w:val="false"/>
        <w:bCs/>
        <w:rFonts w:ascii="Times New Roman" w:hAnsi="Times New Roman" w:cs="Times New Roman"/>
        <w:color w:val="auto"/>
      </w:rPr>
    </w:lvl>
    <w:lvl w:ilvl="4">
      <w:start w:val="1"/>
      <w:numFmt w:val="decimal"/>
      <w:lvlText w:val="%5."/>
      <w:lvlJc w:val="left"/>
      <w:pPr>
        <w:tabs>
          <w:tab w:val="num" w:pos="0"/>
        </w:tabs>
        <w:ind w:left="2160" w:hanging="360"/>
      </w:pPr>
      <w:rPr>
        <w:dstrike w:val="false"/>
        <w:strike w:val="false"/>
        <w:sz w:val="20"/>
        <w:i w:val="false"/>
        <w:u w:val="single"/>
        <w:b/>
        <w:szCs w:val="20"/>
        <w:iCs w:val="false"/>
        <w:bCs/>
        <w:rFonts w:ascii="Times New Roman" w:hAnsi="Times New Roman" w:cs="Times New Roman"/>
        <w:color w:val="auto"/>
      </w:rPr>
    </w:lvl>
    <w:lvl w:ilvl="5">
      <w:start w:val="1"/>
      <w:numFmt w:val="decimal"/>
      <w:lvlText w:val="%6."/>
      <w:lvlJc w:val="left"/>
      <w:pPr>
        <w:tabs>
          <w:tab w:val="num" w:pos="0"/>
        </w:tabs>
        <w:ind w:left="2520" w:hanging="360"/>
      </w:pPr>
      <w:rPr>
        <w:dstrike w:val="false"/>
        <w:strike w:val="false"/>
        <w:sz w:val="20"/>
        <w:i w:val="false"/>
        <w:u w:val="single"/>
        <w:b/>
        <w:szCs w:val="20"/>
        <w:iCs w:val="false"/>
        <w:bCs/>
        <w:rFonts w:ascii="Times New Roman" w:hAnsi="Times New Roman" w:cs="Times New Roman"/>
        <w:color w:val="auto"/>
      </w:rPr>
    </w:lvl>
    <w:lvl w:ilvl="6">
      <w:start w:val="1"/>
      <w:numFmt w:val="decimal"/>
      <w:lvlText w:val="%7."/>
      <w:lvlJc w:val="left"/>
      <w:pPr>
        <w:tabs>
          <w:tab w:val="num" w:pos="0"/>
        </w:tabs>
        <w:ind w:left="2880" w:hanging="360"/>
      </w:pPr>
      <w:rPr>
        <w:dstrike w:val="false"/>
        <w:strike w:val="false"/>
        <w:sz w:val="20"/>
        <w:i w:val="false"/>
        <w:u w:val="single"/>
        <w:b/>
        <w:szCs w:val="20"/>
        <w:iCs w:val="false"/>
        <w:bCs/>
        <w:rFonts w:ascii="Times New Roman" w:hAnsi="Times New Roman" w:cs="Times New Roman"/>
        <w:color w:val="auto"/>
      </w:rPr>
    </w:lvl>
    <w:lvl w:ilvl="7">
      <w:start w:val="1"/>
      <w:numFmt w:val="decimal"/>
      <w:lvlText w:val="%8."/>
      <w:lvlJc w:val="left"/>
      <w:pPr>
        <w:tabs>
          <w:tab w:val="num" w:pos="0"/>
        </w:tabs>
        <w:ind w:left="3240" w:hanging="360"/>
      </w:pPr>
      <w:rPr>
        <w:dstrike w:val="false"/>
        <w:strike w:val="false"/>
        <w:sz w:val="20"/>
        <w:i w:val="false"/>
        <w:u w:val="single"/>
        <w:b/>
        <w:szCs w:val="20"/>
        <w:iCs w:val="false"/>
        <w:bCs/>
        <w:rFonts w:ascii="Times New Roman" w:hAnsi="Times New Roman" w:cs="Times New Roman"/>
        <w:color w:val="auto"/>
      </w:rPr>
    </w:lvl>
    <w:lvl w:ilvl="8">
      <w:start w:val="1"/>
      <w:numFmt w:val="decimal"/>
      <w:lvlText w:val="%9."/>
      <w:lvlJc w:val="left"/>
      <w:pPr>
        <w:tabs>
          <w:tab w:val="num" w:pos="0"/>
        </w:tabs>
        <w:ind w:left="3600" w:hanging="360"/>
      </w:pPr>
      <w:rPr>
        <w:dstrike w:val="false"/>
        <w:strike w:val="false"/>
        <w:sz w:val="20"/>
        <w:i w:val="false"/>
        <w:u w:val="single"/>
        <w:b/>
        <w:szCs w:val="20"/>
        <w:iCs w:val="false"/>
        <w:bCs/>
        <w:rFonts w:ascii="Times New Roman" w:hAnsi="Times New Roman" w:cs="Times New Roman"/>
        <w:color w:val="auto"/>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
    <w:lvlOverride w:ilvl="0">
      <w:lvl w:ilvl="0">
        <w:start w:val="1"/>
        <w:numFmt w:val="bullet"/>
        <w:lvlText w:val=""/>
        <w:lvlJc w:val="left"/>
        <w:pPr>
          <w:tabs>
            <w:tab w:val="num" w:pos="0"/>
          </w:tabs>
          <w:ind w:left="473" w:firstLine="113"/>
        </w:pPr>
        <w:rPr>
          <w:rFonts w:ascii="Symbol" w:hAnsi="Symbol" w:cs="Symbol" w:hint="default"/>
          <w:dstrike w:val="false"/>
          <w:strike w:val="false"/>
          <w:sz w:val="24"/>
          <w:i w:val="false"/>
          <w:u w:val="none"/>
          <w:b w:val="false"/>
          <w:szCs w:val="24"/>
          <w:iCs w:val="false"/>
          <w:bCs w:val="false"/>
          <w:color w:val="auto"/>
        </w:rPr>
      </w:lvl>
    </w:lvlOverride>
  </w:num>
  <w:num w:numId="12">
    <w:abstractNumId w:val="1"/>
    <w:lvlOverride w:ilvl="0">
      <w:lvl w:ilvl="0">
        <w:start w:val="1"/>
        <w:numFmt w:val="bullet"/>
        <w:lvlText w:val=""/>
        <w:lvlJc w:val="left"/>
        <w:pPr>
          <w:tabs>
            <w:tab w:val="num" w:pos="0"/>
          </w:tabs>
          <w:ind w:left="473" w:firstLine="113"/>
        </w:pPr>
        <w:rPr>
          <w:rFonts w:ascii="Symbol" w:hAnsi="Symbol" w:cs="Symbol" w:hint="default"/>
          <w:dstrike w:val="false"/>
          <w:strike w:val="false"/>
          <w:sz w:val="24"/>
          <w:i w:val="false"/>
          <w:u w:val="none"/>
          <w:b w:val="false"/>
          <w:szCs w:val="24"/>
          <w:iCs w:val="false"/>
          <w:bCs w:val="false"/>
          <w:color w:val="auto"/>
        </w:rPr>
      </w:lvl>
    </w:lvlOverride>
  </w:num>
  <w:num w:numId="13">
    <w:abstractNumId w:val="1"/>
    <w:lvlOverride w:ilvl="0">
      <w:lvl w:ilvl="0">
        <w:start w:val="1"/>
        <w:numFmt w:val="bullet"/>
        <w:lvlText w:val=""/>
        <w:lvlJc w:val="left"/>
        <w:pPr>
          <w:tabs>
            <w:tab w:val="num" w:pos="0"/>
          </w:tabs>
          <w:ind w:left="473" w:firstLine="113"/>
        </w:pPr>
        <w:rPr>
          <w:rFonts w:ascii="Symbol" w:hAnsi="Symbol" w:cs="Symbol" w:hint="default"/>
          <w:dstrike w:val="false"/>
          <w:strike w:val="false"/>
          <w:sz w:val="24"/>
          <w:i w:val="false"/>
          <w:u w:val="none"/>
          <w:b w:val="false"/>
          <w:szCs w:val="24"/>
          <w:iCs w:val="false"/>
          <w:bCs w:val="false"/>
          <w:color w:val="auto"/>
        </w:rPr>
      </w:lvl>
    </w:lvlOverride>
  </w:num>
  <w:num w:numId="14">
    <w:abstractNumId w:val="1"/>
    <w:lvlOverride w:ilvl="0">
      <w:lvl w:ilvl="0">
        <w:start w:val="1"/>
        <w:numFmt w:val="bullet"/>
        <w:lvlText w:val=""/>
        <w:lvlJc w:val="left"/>
        <w:pPr>
          <w:tabs>
            <w:tab w:val="num" w:pos="0"/>
          </w:tabs>
          <w:ind w:left="473" w:firstLine="113"/>
        </w:pPr>
        <w:rPr>
          <w:rFonts w:ascii="Symbol" w:hAnsi="Symbol" w:cs="Symbol" w:hint="default"/>
          <w:dstrike w:val="false"/>
          <w:strike w:val="false"/>
          <w:sz w:val="24"/>
          <w:i w:val="false"/>
          <w:u w:val="none"/>
          <w:b w:val="false"/>
          <w:szCs w:val="24"/>
          <w:iCs w:val="false"/>
          <w:bCs w:val="false"/>
          <w:color w:val="auto"/>
        </w:rPr>
      </w:lvl>
    </w:lvlOverride>
  </w:num>
  <w:num w:numId="15">
    <w:abstractNumId w:val="1"/>
  </w:num>
  <w:num w:numId="16">
    <w:abstractNumId w:val="1"/>
  </w:num>
  <w:num w:numId="17">
    <w:abstractNumId w:val="1"/>
  </w:num>
  <w:num w:numId="18">
    <w:abstractNumId w:val="1"/>
  </w:num>
  <w:num w:numId="19">
    <w:abstractNumId w:val="1"/>
  </w:num>
  <w:num w:numId="20">
    <w:abstractNumId w:val="1"/>
    <w:lvlOverride w:ilvl="0">
      <w:lvl w:ilvl="0">
        <w:start w:val="1"/>
        <w:numFmt w:val="bullet"/>
        <w:lvlText w:val=""/>
        <w:lvlJc w:val="left"/>
        <w:pPr>
          <w:tabs>
            <w:tab w:val="num" w:pos="0"/>
          </w:tabs>
          <w:ind w:left="720" w:hanging="360"/>
        </w:pPr>
        <w:rPr>
          <w:rFonts w:ascii="Symbol" w:hAnsi="Symbol" w:cs="Symbol" w:hint="default"/>
          <w:dstrike w:val="false"/>
          <w:strike w:val="false"/>
          <w:sz w:val="24"/>
          <w:i w:val="false"/>
          <w:u w:val="none"/>
          <w:b w:val="false"/>
          <w:szCs w:val="24"/>
          <w:iCs w:val="false"/>
          <w:bCs w:val="false"/>
          <w:color w:val="auto"/>
        </w:rPr>
      </w:lvl>
    </w:lvlOverride>
  </w:num>
  <w:num w:numId="21">
    <w:abstractNumId w:val="1"/>
    <w:lvlOverride w:ilvl="0">
      <w:lvl w:ilvl="0">
        <w:start w:val="1"/>
        <w:numFmt w:val="bullet"/>
        <w:lvlText w:val=""/>
        <w:lvlJc w:val="left"/>
        <w:pPr>
          <w:tabs>
            <w:tab w:val="num" w:pos="0"/>
          </w:tabs>
          <w:ind w:left="720" w:hanging="360"/>
        </w:pPr>
        <w:rPr>
          <w:rFonts w:ascii="Symbol" w:hAnsi="Symbol" w:cs="Symbol" w:hint="default"/>
          <w:dstrike w:val="false"/>
          <w:strike w:val="false"/>
          <w:sz w:val="24"/>
          <w:i w:val="false"/>
          <w:u w:val="none"/>
          <w:b w:val="false"/>
          <w:szCs w:val="24"/>
          <w:iCs w:val="false"/>
          <w:bCs w:val="false"/>
          <w:color w:val="auto"/>
        </w:rPr>
      </w:lvl>
    </w:lvlOverride>
  </w:num>
  <w:num w:numId="22">
    <w:abstractNumId w:val="1"/>
    <w:lvlOverride w:ilvl="0">
      <w:lvl w:ilvl="0">
        <w:start w:val="1"/>
        <w:numFmt w:val="bullet"/>
        <w:lvlText w:val=""/>
        <w:lvlJc w:val="left"/>
        <w:pPr>
          <w:tabs>
            <w:tab w:val="num" w:pos="0"/>
          </w:tabs>
          <w:ind w:left="720" w:hanging="360"/>
        </w:pPr>
        <w:rPr>
          <w:rFonts w:ascii="Symbol" w:hAnsi="Symbol" w:cs="Symbol" w:hint="default"/>
          <w:dstrike w:val="false"/>
          <w:strike w:val="false"/>
          <w:sz w:val="24"/>
          <w:i w:val="false"/>
          <w:u w:val="none"/>
          <w:b w:val="false"/>
          <w:szCs w:val="24"/>
          <w:iCs w:val="false"/>
          <w:bCs w:val="false"/>
          <w:color w:val="auto"/>
        </w:rPr>
      </w:lvl>
    </w:lvlOverride>
  </w:num>
  <w:num w:numId="23">
    <w:abstractNumId w:val="1"/>
    <w:lvlOverride w:ilvl="0">
      <w:lvl w:ilvl="0">
        <w:start w:val="1"/>
        <w:numFmt w:val="bullet"/>
        <w:lvlText w:val=""/>
        <w:lvlJc w:val="left"/>
        <w:pPr>
          <w:tabs>
            <w:tab w:val="num" w:pos="0"/>
          </w:tabs>
          <w:ind w:left="720" w:hanging="360"/>
        </w:pPr>
        <w:rPr>
          <w:rFonts w:ascii="Symbol" w:hAnsi="Symbol" w:cs="Symbol" w:hint="default"/>
          <w:dstrike w:val="false"/>
          <w:strike w:val="false"/>
          <w:sz w:val="24"/>
          <w:i w:val="false"/>
          <w:u w:val="none"/>
          <w:b w:val="false"/>
          <w:szCs w:val="24"/>
          <w:iCs w:val="false"/>
          <w:bCs w:val="false"/>
          <w:color w:val="auto"/>
        </w:rPr>
      </w:lvl>
    </w:lvlOverride>
  </w:num>
  <w:num w:numId="24">
    <w:abstractNumId w:val="1"/>
    <w:lvlOverride w:ilvl="0">
      <w:lvl w:ilvl="0">
        <w:start w:val="1"/>
        <w:numFmt w:val="bullet"/>
        <w:lvlText w:val=""/>
        <w:lvlJc w:val="left"/>
        <w:pPr>
          <w:tabs>
            <w:tab w:val="num" w:pos="0"/>
          </w:tabs>
          <w:ind w:left="720" w:hanging="360"/>
        </w:pPr>
        <w:rPr>
          <w:rFonts w:ascii="Symbol" w:hAnsi="Symbol" w:cs="Symbol" w:hint="default"/>
          <w:dstrike w:val="false"/>
          <w:strike w:val="false"/>
          <w:sz w:val="24"/>
          <w:i w:val="false"/>
          <w:u w:val="none"/>
          <w:b w:val="false"/>
          <w:szCs w:val="24"/>
          <w:iCs w:val="false"/>
          <w:bCs w:val="false"/>
          <w:color w:val="auto"/>
        </w:rPr>
      </w:lvl>
    </w:lvlOverride>
  </w:num>
  <w:num w:numId="25">
    <w:abstractNumId w:val="1"/>
    <w:lvlOverride w:ilvl="0">
      <w:lvl w:ilvl="0">
        <w:start w:val="1"/>
        <w:numFmt w:val="bullet"/>
        <w:lvlText w:val=""/>
        <w:lvlJc w:val="left"/>
        <w:pPr>
          <w:tabs>
            <w:tab w:val="num" w:pos="0"/>
          </w:tabs>
          <w:ind w:left="720" w:hanging="360"/>
        </w:pPr>
        <w:rPr>
          <w:rFonts w:ascii="Symbol" w:hAnsi="Symbol" w:cs="Symbol" w:hint="default"/>
          <w:dstrike w:val="false"/>
          <w:strike w:val="false"/>
          <w:sz w:val="24"/>
          <w:i w:val="false"/>
          <w:u w:val="none"/>
          <w:b w:val="false"/>
          <w:szCs w:val="24"/>
          <w:iCs w:val="false"/>
          <w:bCs w:val="false"/>
          <w:color w:val="auto"/>
        </w:rPr>
      </w:lvl>
    </w:lvlOverride>
  </w:num>
  <w:num w:numId="26">
    <w:abstractNumId w:val="1"/>
    <w:lvlOverride w:ilvl="0">
      <w:lvl w:ilvl="0">
        <w:start w:val="1"/>
        <w:numFmt w:val="bullet"/>
        <w:lvlText w:val=""/>
        <w:lvlJc w:val="left"/>
        <w:pPr>
          <w:tabs>
            <w:tab w:val="num" w:pos="0"/>
          </w:tabs>
          <w:ind w:left="720" w:hanging="360"/>
        </w:pPr>
        <w:rPr>
          <w:rFonts w:ascii="Symbol" w:hAnsi="Symbol" w:cs="Symbol" w:hint="default"/>
          <w:dstrike w:val="false"/>
          <w:strike w:val="false"/>
          <w:sz w:val="24"/>
          <w:i w:val="false"/>
          <w:u w:val="none"/>
          <w:b w:val="false"/>
          <w:szCs w:val="24"/>
          <w:iCs w:val="false"/>
          <w:bCs w:val="false"/>
          <w:color w:val="auto"/>
        </w:rPr>
      </w:lvl>
    </w:lvlOverride>
  </w:num>
  <w:num w:numId="27">
    <w:abstractNumId w:val="1"/>
    <w:lvlOverride w:ilvl="0">
      <w:lvl w:ilvl="0">
        <w:start w:val="1"/>
        <w:numFmt w:val="bullet"/>
        <w:lvlText w:val=""/>
        <w:lvlJc w:val="left"/>
        <w:pPr>
          <w:tabs>
            <w:tab w:val="num" w:pos="0"/>
          </w:tabs>
          <w:ind w:left="720" w:hanging="360"/>
        </w:pPr>
        <w:rPr>
          <w:rFonts w:ascii="Symbol" w:hAnsi="Symbol" w:cs="Symbol" w:hint="default"/>
          <w:dstrike w:val="false"/>
          <w:strike w:val="false"/>
          <w:sz w:val="24"/>
          <w:i w:val="false"/>
          <w:u w:val="none"/>
          <w:b w:val="false"/>
          <w:szCs w:val="24"/>
          <w:iCs w:val="false"/>
          <w:bCs w:val="false"/>
          <w:color w:val="auto"/>
        </w:rPr>
      </w:lvl>
    </w:lvlOverride>
  </w:num>
  <w:num w:numId="28">
    <w:abstractNumId w:val="1"/>
    <w:lvlOverride w:ilvl="0">
      <w:lvl w:ilvl="0">
        <w:start w:val="1"/>
        <w:numFmt w:val="bullet"/>
        <w:lvlText w:val=""/>
        <w:lvlJc w:val="left"/>
        <w:pPr>
          <w:tabs>
            <w:tab w:val="num" w:pos="0"/>
          </w:tabs>
          <w:ind w:left="720" w:hanging="360"/>
        </w:pPr>
        <w:rPr>
          <w:rFonts w:ascii="Symbol" w:hAnsi="Symbol" w:cs="Symbol" w:hint="default"/>
          <w:dstrike w:val="false"/>
          <w:strike w:val="false"/>
          <w:sz w:val="24"/>
          <w:i w:val="false"/>
          <w:u w:val="none"/>
          <w:b w:val="false"/>
          <w:szCs w:val="24"/>
          <w:iCs w:val="false"/>
          <w:bCs w:val="false"/>
          <w:color w:val="auto"/>
        </w:rPr>
      </w:lvl>
    </w:lvlOverride>
  </w:num>
  <w:num w:numId="29">
    <w:abstractNumId w:val="1"/>
    <w:lvlOverride w:ilvl="0">
      <w:lvl w:ilvl="0">
        <w:start w:val="1"/>
        <w:numFmt w:val="bullet"/>
        <w:lvlText w:val=""/>
        <w:lvlJc w:val="left"/>
        <w:pPr>
          <w:tabs>
            <w:tab w:val="num" w:pos="0"/>
          </w:tabs>
          <w:ind w:left="720" w:hanging="360"/>
        </w:pPr>
        <w:rPr>
          <w:rFonts w:ascii="Symbol" w:hAnsi="Symbol" w:cs="Symbol" w:hint="default"/>
          <w:dstrike w:val="false"/>
          <w:strike w:val="false"/>
          <w:sz w:val="24"/>
          <w:i w:val="false"/>
          <w:u w:val="none"/>
          <w:b w:val="false"/>
          <w:szCs w:val="24"/>
          <w:iCs w:val="false"/>
          <w:bCs w:val="false"/>
          <w:color w:val="auto"/>
        </w:rPr>
      </w:lvl>
    </w:lvlOverride>
  </w:num>
  <w:num w:numId="30">
    <w:abstractNumId w:val="1"/>
    <w:lvlOverride w:ilvl="0">
      <w:lvl w:ilvl="0">
        <w:start w:val="1"/>
        <w:numFmt w:val="bullet"/>
        <w:lvlText w:val=""/>
        <w:lvlJc w:val="left"/>
        <w:pPr>
          <w:tabs>
            <w:tab w:val="num" w:pos="0"/>
          </w:tabs>
          <w:ind w:left="720" w:hanging="360"/>
        </w:pPr>
        <w:rPr>
          <w:rFonts w:ascii="Symbol" w:hAnsi="Symbol" w:cs="Symbol" w:hint="default"/>
          <w:dstrike w:val="false"/>
          <w:strike w:val="false"/>
          <w:sz w:val="24"/>
          <w:i w:val="false"/>
          <w:u w:val="none"/>
          <w:b w:val="false"/>
          <w:szCs w:val="24"/>
          <w:iCs w:val="false"/>
          <w:bCs w:val="false"/>
          <w:color w:val="auto"/>
        </w:rPr>
      </w:lvl>
    </w:lvlOverride>
  </w:num>
  <w:num w:numId="31">
    <w:abstractNumId w:val="1"/>
    <w:lvlOverride w:ilvl="0">
      <w:lvl w:ilvl="0">
        <w:start w:val="1"/>
        <w:numFmt w:val="bullet"/>
        <w:lvlText w:val=""/>
        <w:lvlJc w:val="left"/>
        <w:pPr>
          <w:tabs>
            <w:tab w:val="num" w:pos="0"/>
          </w:tabs>
          <w:ind w:left="720" w:hanging="360"/>
        </w:pPr>
        <w:rPr>
          <w:rFonts w:ascii="Symbol" w:hAnsi="Symbol" w:cs="Symbol" w:hint="default"/>
          <w:dstrike w:val="false"/>
          <w:strike w:val="false"/>
          <w:sz w:val="24"/>
          <w:i w:val="false"/>
          <w:u w:val="none"/>
          <w:b w:val="false"/>
          <w:szCs w:val="24"/>
          <w:iCs w:val="false"/>
          <w:bCs w:val="false"/>
          <w:color w:val="auto"/>
        </w:rPr>
      </w:lvl>
    </w:lvlOverride>
  </w:num>
  <w:num w:numId="32">
    <w:abstractNumId w:val="1"/>
    <w:lvlOverride w:ilvl="0">
      <w:lvl w:ilvl="0">
        <w:start w:val="1"/>
        <w:numFmt w:val="bullet"/>
        <w:lvlText w:val=""/>
        <w:lvlJc w:val="left"/>
        <w:pPr>
          <w:tabs>
            <w:tab w:val="num" w:pos="0"/>
          </w:tabs>
          <w:ind w:left="720" w:hanging="360"/>
        </w:pPr>
        <w:rPr>
          <w:rFonts w:ascii="Symbol" w:hAnsi="Symbol" w:cs="Symbol" w:hint="default"/>
          <w:dstrike w:val="false"/>
          <w:strike w:val="false"/>
          <w:sz w:val="24"/>
          <w:i w:val="false"/>
          <w:u w:val="none"/>
          <w:b w:val="false"/>
          <w:szCs w:val="24"/>
          <w:iCs w:val="false"/>
          <w:bCs w:val="false"/>
          <w:color w:val="auto"/>
        </w:rPr>
      </w:lvl>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ind w:left="357" w:hanging="0"/>
      <w:jc w:val="both"/>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link w:val="Stopka"/>
    <w:uiPriority w:val="99"/>
    <w:qFormat/>
    <w:rsid w:val="00257ecf"/>
    <w:rPr>
      <w:rFonts w:ascii="Times New Roman" w:hAnsi="Times New Roman" w:cs="Times New Roman"/>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rmal1" w:customStyle="1">
    <w:name w:val="[Normal]"/>
    <w:uiPriority w:val="99"/>
    <w:qFormat/>
    <w:rsid w:val="00257ecf"/>
    <w:pPr>
      <w:widowControl w:val="false"/>
      <w:bidi w:val="0"/>
      <w:spacing w:before="0" w:after="0"/>
      <w:ind w:left="0" w:hanging="0"/>
      <w:jc w:val="left"/>
    </w:pPr>
    <w:rPr>
      <w:rFonts w:ascii="Arial" w:hAnsi="Arial" w:cs="Arial" w:eastAsia="Calibri" w:eastAsiaTheme="minorHAnsi"/>
      <w:color w:val="auto"/>
      <w:kern w:val="0"/>
      <w:sz w:val="24"/>
      <w:szCs w:val="24"/>
      <w:lang w:val="pl-PL" w:eastAsia="en-US" w:bidi="ar-SA"/>
    </w:rPr>
  </w:style>
  <w:style w:type="paragraph" w:styleId="Gwkaistopka">
    <w:name w:val="Główka i stopka"/>
    <w:basedOn w:val="Normal"/>
    <w:qFormat/>
    <w:pPr/>
    <w:rPr/>
  </w:style>
  <w:style w:type="paragraph" w:styleId="Stopka">
    <w:name w:val="Footer"/>
    <w:basedOn w:val="Normal"/>
    <w:link w:val="StopkaZnak"/>
    <w:uiPriority w:val="99"/>
    <w:rsid w:val="00257ecf"/>
    <w:pPr>
      <w:tabs>
        <w:tab w:val="clear" w:pos="708"/>
        <w:tab w:val="center" w:pos="4536" w:leader="none"/>
        <w:tab w:val="right" w:pos="9072" w:leader="none"/>
      </w:tabs>
      <w:ind w:left="0" w:hanging="0"/>
      <w:jc w:val="left"/>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LibreOffice/7.1.4.2$Windows_X86_64 LibreOffice_project/a529a4fab45b75fefc5b6226684193eb000654f6</Application>
  <AppVersion>15.0000</AppVersion>
  <Pages>9</Pages>
  <Words>3588</Words>
  <Characters>20211</Characters>
  <CharactersWithSpaces>23693</CharactersWithSpaces>
  <Paragraphs>219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2021-10-08T10:28:00Z</dcterms:created>
  <dc:creator>Ula</dc:creator>
  <dc:description/>
  <dc:language>pl-PL</dc:language>
  <cp:lastModifiedBy>Ula</cp:lastModifiedBy>
  <cp:lastPrinted>2021-10-12T13:53:39Z</cp:lastPrinted>
  <dcterms:modified xsi:type="dcterms:W3CDTF">2021-10-08T10:30:00Z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