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3CF8F657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40170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612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A274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20673A7A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="003B549F">
        <w:rPr>
          <w:rFonts w:ascii="Calibri" w:hAnsi="Calibri" w:cs="Calibri"/>
          <w:kern w:val="0"/>
          <w:sz w:val="24"/>
          <w:szCs w:val="24"/>
          <w14:ligatures w14:val="none"/>
        </w:rPr>
        <w:t>5/4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 xml:space="preserve"> 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pow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. 0,</w:t>
      </w:r>
      <w:r w:rsidR="003B549F">
        <w:rPr>
          <w:rFonts w:ascii="Calibri" w:hAnsi="Calibri" w:cs="Calibri"/>
          <w:kern w:val="0"/>
          <w:sz w:val="24"/>
          <w:szCs w:val="24"/>
          <w14:ligatures w14:val="none"/>
        </w:rPr>
        <w:t>07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C84EF7">
        <w:rPr>
          <w:rFonts w:ascii="Calibri" w:hAnsi="Calibri" w:cs="Calibri"/>
          <w:kern w:val="0"/>
          <w:sz w:val="24"/>
          <w:szCs w:val="24"/>
          <w14:ligatures w14:val="none"/>
        </w:rPr>
        <w:t>Bartnica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70EF086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3B549F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594BC18F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3B549F">
        <w:rPr>
          <w:rFonts w:ascii="Calibri" w:hAnsi="Calibri" w:cs="Calibri"/>
          <w:kern w:val="0"/>
          <w:sz w:val="24"/>
          <w:szCs w:val="24"/>
          <w14:ligatures w14:val="none"/>
        </w:rPr>
        <w:t>50,61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3B549F">
        <w:rPr>
          <w:rFonts w:ascii="Calibri" w:hAnsi="Calibri" w:cs="Calibri"/>
          <w:kern w:val="0"/>
          <w:sz w:val="24"/>
          <w:szCs w:val="24"/>
          <w14:ligatures w14:val="none"/>
        </w:rPr>
        <w:t>pięćdziesiąt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łot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3B549F">
        <w:rPr>
          <w:rFonts w:ascii="Calibri" w:hAnsi="Calibri" w:cs="Calibri"/>
          <w:kern w:val="0"/>
          <w:sz w:val="24"/>
          <w:szCs w:val="24"/>
          <w14:ligatures w14:val="none"/>
        </w:rPr>
        <w:t>61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3B549F">
        <w:rPr>
          <w:rFonts w:ascii="Calibri" w:hAnsi="Calibri" w:cs="Calibri"/>
          <w:kern w:val="0"/>
          <w:sz w:val="24"/>
          <w:szCs w:val="24"/>
          <w14:ligatures w14:val="none"/>
        </w:rPr>
        <w:t>723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44B8CB6C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84EF7">
        <w:rPr>
          <w:rFonts w:ascii="Calibri" w:eastAsia="Calibri" w:hAnsi="Calibri" w:cs="Calibri"/>
          <w:kern w:val="0"/>
          <w:sz w:val="24"/>
          <w:szCs w:val="24"/>
          <w14:ligatures w14:val="none"/>
        </w:rPr>
        <w:t>Bartnica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40170D">
        <w:rPr>
          <w:rFonts w:cs="Calibri"/>
          <w:color w:val="000000" w:themeColor="text1"/>
          <w:szCs w:val="28"/>
        </w:rPr>
        <w:t>/z up. Wójta Anna Zawiślak – Zastępca Wójta /</w:t>
      </w:r>
      <w:r w:rsidRPr="0040170D">
        <w:rPr>
          <w:rFonts w:cs="Calibri"/>
          <w:color w:val="000000" w:themeColor="text1"/>
        </w:rPr>
        <w:t> </w:t>
      </w:r>
    </w:p>
    <w:bookmarkEnd w:id="0"/>
    <w:p w14:paraId="3BA0BF66" w14:textId="001BF4B6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40170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612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A274B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443CE044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="00A274B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A274B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6B29CD1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C84EF7">
        <w:rPr>
          <w:rFonts w:ascii="Calibri" w:hAnsi="Calibri" w:cs="Calibri"/>
          <w:kern w:val="0"/>
          <w14:ligatures w14:val="none"/>
        </w:rPr>
        <w:t>Bartnica</w:t>
      </w:r>
    </w:p>
    <w:p w14:paraId="1C835007" w14:textId="1A15BDC6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C84EF7">
        <w:rPr>
          <w:rFonts w:ascii="Calibri" w:hAnsi="Calibri" w:cs="Calibri"/>
          <w:kern w:val="0"/>
          <w14:ligatures w14:val="none"/>
        </w:rPr>
        <w:t>17</w:t>
      </w:r>
      <w:r w:rsidR="003B549F">
        <w:rPr>
          <w:rFonts w:ascii="Calibri" w:hAnsi="Calibri" w:cs="Calibri"/>
          <w:kern w:val="0"/>
          <w14:ligatures w14:val="none"/>
        </w:rPr>
        <w:t>5/4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4570E684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14:ligatures w14:val="none"/>
        </w:rPr>
        <w:t>SW2K/00025</w:t>
      </w:r>
      <w:r w:rsidR="00C84EF7">
        <w:rPr>
          <w:rFonts w:ascii="Calibri" w:hAnsi="Calibri" w:cs="Calibri"/>
          <w:kern w:val="0"/>
          <w14:ligatures w14:val="none"/>
        </w:rPr>
        <w:t>67</w:t>
      </w:r>
      <w:r w:rsidR="003B549F">
        <w:rPr>
          <w:rFonts w:ascii="Calibri" w:hAnsi="Calibri" w:cs="Calibri"/>
          <w:kern w:val="0"/>
          <w14:ligatures w14:val="none"/>
        </w:rPr>
        <w:t>0</w:t>
      </w:r>
      <w:r w:rsidR="00A274B0">
        <w:rPr>
          <w:rFonts w:ascii="Calibri" w:hAnsi="Calibri" w:cs="Calibri"/>
          <w:kern w:val="0"/>
          <w14:ligatures w14:val="none"/>
        </w:rPr>
        <w:t>/</w:t>
      </w:r>
      <w:r w:rsidR="003B549F">
        <w:rPr>
          <w:rFonts w:ascii="Calibri" w:hAnsi="Calibri" w:cs="Calibri"/>
          <w:kern w:val="0"/>
          <w14:ligatures w14:val="none"/>
        </w:rPr>
        <w:t>4</w:t>
      </w:r>
    </w:p>
    <w:p w14:paraId="2912F200" w14:textId="4B971D54" w:rsidR="00A274B0" w:rsidRDefault="00026265" w:rsidP="00A274B0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A274B0">
        <w:rPr>
          <w:rFonts w:ascii="Calibri" w:hAnsi="Calibri" w:cs="Calibri"/>
          <w:kern w:val="0"/>
          <w14:ligatures w14:val="none"/>
        </w:rPr>
        <w:t>0,</w:t>
      </w:r>
      <w:r w:rsidR="003B549F">
        <w:rPr>
          <w:rFonts w:ascii="Calibri" w:hAnsi="Calibri" w:cs="Calibri"/>
          <w:kern w:val="0"/>
          <w14:ligatures w14:val="none"/>
        </w:rPr>
        <w:t>07</w:t>
      </w:r>
      <w:r w:rsidR="00A274B0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ha</w:t>
      </w:r>
    </w:p>
    <w:p w14:paraId="3D0CFE8B" w14:textId="4BB4E724" w:rsidR="0070789D" w:rsidRPr="00476545" w:rsidRDefault="00026265" w:rsidP="00A274B0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A274B0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A274B0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A274B0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działki </w:t>
      </w:r>
      <w:r w:rsidR="0070789D" w:rsidRPr="00A274B0">
        <w:rPr>
          <w:rFonts w:ascii="Calibri" w:hAnsi="Calibri" w:cs="Calibri"/>
          <w:kern w:val="0"/>
          <w14:ligatures w14:val="none"/>
        </w:rPr>
        <w:t>nr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</w:t>
      </w:r>
      <w:r w:rsidR="00C84EF7">
        <w:rPr>
          <w:rFonts w:ascii="Calibri" w:hAnsi="Calibri" w:cs="Calibri"/>
          <w:kern w:val="0"/>
          <w14:ligatures w14:val="none"/>
        </w:rPr>
        <w:t>1</w:t>
      </w:r>
      <w:r w:rsidR="00A274B0">
        <w:rPr>
          <w:rFonts w:ascii="Calibri" w:hAnsi="Calibri" w:cs="Calibri"/>
          <w:kern w:val="0"/>
          <w14:ligatures w14:val="none"/>
        </w:rPr>
        <w:t>7</w:t>
      </w:r>
      <w:r w:rsidR="003B549F">
        <w:rPr>
          <w:rFonts w:ascii="Calibri" w:hAnsi="Calibri" w:cs="Calibri"/>
          <w:kern w:val="0"/>
          <w14:ligatures w14:val="none"/>
        </w:rPr>
        <w:t>5/4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</w:t>
      </w:r>
      <w:r w:rsidRPr="00A274B0">
        <w:rPr>
          <w:rFonts w:ascii="Calibri" w:hAnsi="Calibri" w:cs="Calibri"/>
          <w:kern w:val="0"/>
          <w14:ligatures w14:val="none"/>
        </w:rPr>
        <w:t>o</w:t>
      </w:r>
      <w:r w:rsidR="00A274B0">
        <w:rPr>
          <w:rFonts w:ascii="Calibri" w:hAnsi="Calibri" w:cs="Calibri"/>
          <w:kern w:val="0"/>
          <w14:ligatures w14:val="none"/>
        </w:rPr>
        <w:t xml:space="preserve"> ogólnej </w:t>
      </w:r>
      <w:r w:rsidRPr="00A274B0">
        <w:rPr>
          <w:rFonts w:ascii="Calibri" w:hAnsi="Calibri" w:cs="Calibri"/>
          <w:kern w:val="0"/>
          <w14:ligatures w14:val="none"/>
        </w:rPr>
        <w:t>pow.</w:t>
      </w:r>
      <w:r w:rsidR="00D32D04" w:rsidRPr="00A274B0">
        <w:rPr>
          <w:rFonts w:ascii="Calibri" w:hAnsi="Calibri" w:cs="Calibri"/>
          <w:kern w:val="0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14:ligatures w14:val="none"/>
        </w:rPr>
        <w:t>0,</w:t>
      </w:r>
      <w:r w:rsidR="003B549F">
        <w:rPr>
          <w:rFonts w:ascii="Calibri" w:hAnsi="Calibri" w:cs="Calibri"/>
          <w:kern w:val="0"/>
          <w14:ligatures w14:val="none"/>
        </w:rPr>
        <w:t>07</w:t>
      </w:r>
      <w:r w:rsidRPr="00A274B0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C84EF7">
        <w:rPr>
          <w:rFonts w:ascii="Calibri" w:hAnsi="Calibri" w:cs="Calibri"/>
          <w:kern w:val="0"/>
          <w14:ligatures w14:val="none"/>
        </w:rPr>
        <w:t>R</w:t>
      </w:r>
      <w:r w:rsidR="0070789D" w:rsidRPr="00A274B0">
        <w:rPr>
          <w:rFonts w:ascii="Calibri" w:hAnsi="Calibri" w:cs="Calibri"/>
          <w:kern w:val="0"/>
          <w14:ligatures w14:val="none"/>
        </w:rPr>
        <w:t>V</w:t>
      </w:r>
      <w:r w:rsidR="00C84EF7">
        <w:rPr>
          <w:rFonts w:ascii="Calibri" w:hAnsi="Calibri" w:cs="Calibri"/>
          <w:kern w:val="0"/>
          <w14:ligatures w14:val="none"/>
        </w:rPr>
        <w:t>-0,</w:t>
      </w:r>
      <w:r w:rsidR="003B549F">
        <w:rPr>
          <w:rFonts w:ascii="Calibri" w:hAnsi="Calibri" w:cs="Calibri"/>
          <w:kern w:val="0"/>
          <w14:ligatures w14:val="none"/>
        </w:rPr>
        <w:t>05</w:t>
      </w:r>
      <w:r w:rsidR="00C84EF7">
        <w:rPr>
          <w:rFonts w:ascii="Calibri" w:hAnsi="Calibri" w:cs="Calibri"/>
          <w:kern w:val="0"/>
          <w14:ligatures w14:val="none"/>
        </w:rPr>
        <w:t xml:space="preserve"> ha,</w:t>
      </w:r>
      <w:r w:rsidR="00C84EF7">
        <w:rPr>
          <w:rFonts w:ascii="Calibri" w:hAnsi="Calibri" w:cs="Calibri"/>
          <w:kern w:val="0"/>
          <w14:ligatures w14:val="none"/>
        </w:rPr>
        <w:br/>
      </w:r>
      <w:r w:rsidR="003B549F">
        <w:rPr>
          <w:rFonts w:ascii="Calibri" w:hAnsi="Calibri" w:cs="Calibri"/>
          <w:kern w:val="0"/>
          <w14:ligatures w14:val="none"/>
        </w:rPr>
        <w:t>ŁIV-0,02</w:t>
      </w:r>
      <w:r w:rsidR="00C84EF7">
        <w:rPr>
          <w:rFonts w:ascii="Calibri" w:hAnsi="Calibri" w:cs="Calibri"/>
          <w:kern w:val="0"/>
          <w14:ligatures w14:val="none"/>
        </w:rPr>
        <w:t xml:space="preserve"> ha</w:t>
      </w:r>
      <w:r w:rsidR="00A274B0">
        <w:rPr>
          <w:rFonts w:ascii="Calibri" w:hAnsi="Calibri" w:cs="Calibri"/>
          <w:kern w:val="0"/>
          <w14:ligatures w14:val="none"/>
        </w:rPr>
        <w:t xml:space="preserve">, </w:t>
      </w:r>
      <w:r w:rsidRPr="00A274B0">
        <w:rPr>
          <w:rFonts w:ascii="Calibri" w:hAnsi="Calibri" w:cs="Calibri"/>
          <w:kern w:val="0"/>
          <w14:ligatures w14:val="none"/>
        </w:rPr>
        <w:t xml:space="preserve">obręb </w:t>
      </w:r>
      <w:r w:rsidR="00C84EF7">
        <w:rPr>
          <w:rFonts w:ascii="Calibri" w:hAnsi="Calibri" w:cs="Calibri"/>
          <w:kern w:val="0"/>
          <w14:ligatures w14:val="none"/>
        </w:rPr>
        <w:t>Bartnica</w:t>
      </w:r>
      <w:r w:rsidR="00E37E2D" w:rsidRPr="00A274B0">
        <w:rPr>
          <w:rFonts w:ascii="Calibri" w:hAnsi="Calibri" w:cs="Calibri"/>
          <w:kern w:val="0"/>
          <w14:ligatures w14:val="none"/>
        </w:rPr>
        <w:t>,</w:t>
      </w:r>
      <w:r w:rsidRPr="00A274B0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A274B0">
        <w:rPr>
          <w:rFonts w:ascii="Calibri" w:hAnsi="Calibri" w:cs="Calibri"/>
          <w:kern w:val="0"/>
          <w14:ligatures w14:val="none"/>
        </w:rPr>
        <w:t xml:space="preserve"> </w:t>
      </w:r>
      <w:r w:rsidRPr="00A274B0">
        <w:rPr>
          <w:rFonts w:ascii="Calibri" w:hAnsi="Calibri" w:cs="Calibri"/>
          <w:kern w:val="0"/>
          <w14:ligatures w14:val="none"/>
        </w:rPr>
        <w:t>z gospodarką rolną.</w:t>
      </w:r>
      <w:r w:rsidRPr="00A274B0">
        <w:rPr>
          <w:rFonts w:ascii="Calibri" w:hAnsi="Calibri" w:cs="Calibri"/>
          <w:kern w:val="0"/>
          <w14:ligatures w14:val="none"/>
        </w:rPr>
        <w:br/>
      </w:r>
      <w:r w:rsidR="00C84EF7">
        <w:rPr>
          <w:rFonts w:ascii="Calibri" w:hAnsi="Calibri" w:cs="Calibri"/>
          <w:kern w:val="0"/>
          <w14:ligatures w14:val="none"/>
        </w:rPr>
        <w:t>Działka nr 17</w:t>
      </w:r>
      <w:r w:rsidR="003B549F">
        <w:rPr>
          <w:rFonts w:ascii="Calibri" w:hAnsi="Calibri" w:cs="Calibri"/>
          <w:kern w:val="0"/>
          <w14:ligatures w14:val="none"/>
        </w:rPr>
        <w:t>5/4</w:t>
      </w:r>
      <w:r w:rsidR="00C84EF7">
        <w:rPr>
          <w:rFonts w:ascii="Calibri" w:hAnsi="Calibri" w:cs="Calibri"/>
          <w:kern w:val="0"/>
          <w14:ligatures w14:val="none"/>
        </w:rPr>
        <w:t xml:space="preserve"> nie jest ujęta w m</w:t>
      </w:r>
      <w:r w:rsidR="00771253" w:rsidRPr="00476545">
        <w:rPr>
          <w:rStyle w:val="Pogrubienie"/>
          <w:b w:val="0"/>
          <w:bCs w:val="0"/>
        </w:rPr>
        <w:t>iejscowy</w:t>
      </w:r>
      <w:r w:rsidR="00476545" w:rsidRPr="00476545">
        <w:rPr>
          <w:rStyle w:val="Pogrubienie"/>
          <w:b w:val="0"/>
          <w:bCs w:val="0"/>
        </w:rPr>
        <w:t>m</w:t>
      </w:r>
      <w:r w:rsidR="00771253" w:rsidRPr="00476545">
        <w:rPr>
          <w:rStyle w:val="Pogrubienie"/>
          <w:b w:val="0"/>
          <w:bCs w:val="0"/>
        </w:rPr>
        <w:t xml:space="preserve"> plan</w:t>
      </w:r>
      <w:r w:rsidR="00476545" w:rsidRPr="00476545">
        <w:rPr>
          <w:rStyle w:val="Pogrubienie"/>
          <w:b w:val="0"/>
          <w:bCs w:val="0"/>
        </w:rPr>
        <w:t>em</w:t>
      </w:r>
      <w:r w:rsidR="00771253" w:rsidRPr="00476545">
        <w:rPr>
          <w:rStyle w:val="Pogrubienie"/>
          <w:b w:val="0"/>
          <w:bCs w:val="0"/>
        </w:rPr>
        <w:t xml:space="preserve"> zagospodarowania przestrzennego </w:t>
      </w:r>
      <w:bookmarkEnd w:id="1"/>
      <w:r w:rsidR="00C84EF7">
        <w:rPr>
          <w:rStyle w:val="Pogrubienie"/>
          <w:b w:val="0"/>
          <w:bCs w:val="0"/>
        </w:rPr>
        <w:t>Gminy Nowa Ruda</w:t>
      </w:r>
      <w:r w:rsidR="00476545" w:rsidRPr="00476545">
        <w:t>.</w:t>
      </w:r>
    </w:p>
    <w:p w14:paraId="47F5527A" w14:textId="00031DC1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3B549F">
        <w:rPr>
          <w:rFonts w:ascii="Calibri" w:hAnsi="Calibri" w:cs="Calibri"/>
          <w:kern w:val="0"/>
          <w14:ligatures w14:val="none"/>
        </w:rPr>
        <w:t>7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6A0820F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3B549F">
        <w:rPr>
          <w:rFonts w:ascii="Calibri" w:hAnsi="Calibri" w:cs="Calibri"/>
          <w:kern w:val="0"/>
          <w14:ligatures w14:val="none"/>
        </w:rPr>
        <w:t>50,61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</w:t>
      </w:r>
      <w:r w:rsidR="00FF0C34" w:rsidRPr="00502616">
        <w:rPr>
          <w:rFonts w:ascii="Calibri" w:hAnsi="Calibri" w:cs="Calibri"/>
        </w:rPr>
        <w:lastRenderedPageBreak/>
        <w:t xml:space="preserve">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40170D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40170D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40170D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06A88"/>
    <w:rsid w:val="00213D1C"/>
    <w:rsid w:val="002272F1"/>
    <w:rsid w:val="00245EB5"/>
    <w:rsid w:val="00307D61"/>
    <w:rsid w:val="00340264"/>
    <w:rsid w:val="00354D24"/>
    <w:rsid w:val="003B549F"/>
    <w:rsid w:val="0040170D"/>
    <w:rsid w:val="004579A3"/>
    <w:rsid w:val="00476545"/>
    <w:rsid w:val="00502616"/>
    <w:rsid w:val="0053414D"/>
    <w:rsid w:val="005C16AE"/>
    <w:rsid w:val="006D62FE"/>
    <w:rsid w:val="0070324B"/>
    <w:rsid w:val="0070789D"/>
    <w:rsid w:val="00771253"/>
    <w:rsid w:val="007B54D1"/>
    <w:rsid w:val="007F58F6"/>
    <w:rsid w:val="009365BF"/>
    <w:rsid w:val="00993DC9"/>
    <w:rsid w:val="00995FE8"/>
    <w:rsid w:val="009C4DA1"/>
    <w:rsid w:val="009E1C26"/>
    <w:rsid w:val="00A274B0"/>
    <w:rsid w:val="00A41B27"/>
    <w:rsid w:val="00A505C6"/>
    <w:rsid w:val="00AE0F6B"/>
    <w:rsid w:val="00C67625"/>
    <w:rsid w:val="00C84EF7"/>
    <w:rsid w:val="00CD2B4C"/>
    <w:rsid w:val="00D32D04"/>
    <w:rsid w:val="00D9238D"/>
    <w:rsid w:val="00DD0142"/>
    <w:rsid w:val="00DE2951"/>
    <w:rsid w:val="00E31E03"/>
    <w:rsid w:val="00E37E2D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21</cp:revision>
  <cp:lastPrinted>2023-10-31T09:06:00Z</cp:lastPrinted>
  <dcterms:created xsi:type="dcterms:W3CDTF">2023-10-12T10:07:00Z</dcterms:created>
  <dcterms:modified xsi:type="dcterms:W3CDTF">2023-10-31T09:06:00Z</dcterms:modified>
</cp:coreProperties>
</file>