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56E9FF90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A72599">
        <w:rPr>
          <w:b/>
          <w:bCs/>
          <w:color w:val="000000" w:themeColor="text1"/>
          <w:sz w:val="28"/>
          <w:szCs w:val="28"/>
        </w:rPr>
        <w:t xml:space="preserve"> 47</w:t>
      </w:r>
      <w:r w:rsidR="00A63A1A">
        <w:rPr>
          <w:b/>
          <w:bCs/>
          <w:color w:val="000000" w:themeColor="text1"/>
          <w:sz w:val="28"/>
          <w:szCs w:val="28"/>
        </w:rPr>
        <w:t>4/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910A3B">
        <w:rPr>
          <w:b/>
          <w:bCs/>
          <w:color w:val="000000" w:themeColor="text1"/>
          <w:sz w:val="28"/>
          <w:szCs w:val="28"/>
        </w:rPr>
        <w:t xml:space="preserve"> 2</w:t>
      </w:r>
      <w:r w:rsidR="00B85001">
        <w:rPr>
          <w:b/>
          <w:bCs/>
          <w:color w:val="000000" w:themeColor="text1"/>
          <w:sz w:val="28"/>
          <w:szCs w:val="28"/>
        </w:rPr>
        <w:t>2</w:t>
      </w:r>
      <w:r w:rsidR="00F43E5F">
        <w:rPr>
          <w:b/>
          <w:bCs/>
          <w:color w:val="000000" w:themeColor="text1"/>
          <w:sz w:val="28"/>
          <w:szCs w:val="28"/>
        </w:rPr>
        <w:t xml:space="preserve"> w</w:t>
      </w:r>
      <w:r w:rsidRPr="00D60231">
        <w:rPr>
          <w:b/>
          <w:bCs/>
          <w:color w:val="000000" w:themeColor="text1"/>
          <w:sz w:val="28"/>
          <w:szCs w:val="28"/>
        </w:rPr>
        <w:t xml:space="preserve">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4E3CE9E2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1A8A0E1E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 xml:space="preserve">Przeznacza się do wydzierżawienia i zawarcia kolejnej umowy dzierżawy w trybie </w:t>
      </w:r>
      <w:r w:rsidR="00320761">
        <w:rPr>
          <w:rFonts w:cstheme="minorHAnsi"/>
          <w:sz w:val="22"/>
          <w:szCs w:val="22"/>
        </w:rPr>
        <w:t>b</w:t>
      </w:r>
      <w:r w:rsidRPr="00D60231">
        <w:rPr>
          <w:rFonts w:cstheme="minorHAnsi"/>
          <w:sz w:val="22"/>
          <w:szCs w:val="22"/>
        </w:rPr>
        <w:t>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</w:t>
      </w:r>
      <w:r w:rsidR="00A63A1A">
        <w:rPr>
          <w:rFonts w:cstheme="minorHAnsi"/>
          <w:sz w:val="22"/>
          <w:szCs w:val="22"/>
        </w:rPr>
        <w:t xml:space="preserve">części </w:t>
      </w:r>
      <w:r w:rsidR="00DC087F">
        <w:rPr>
          <w:rFonts w:cstheme="minorHAnsi"/>
          <w:sz w:val="22"/>
          <w:szCs w:val="22"/>
        </w:rPr>
        <w:t>d</w:t>
      </w:r>
      <w:r w:rsidRPr="00D60231">
        <w:rPr>
          <w:rFonts w:cstheme="minorHAnsi"/>
          <w:sz w:val="22"/>
          <w:szCs w:val="22"/>
        </w:rPr>
        <w:t>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A63A1A">
        <w:rPr>
          <w:rFonts w:cstheme="minorHAnsi"/>
          <w:sz w:val="22"/>
          <w:szCs w:val="22"/>
        </w:rPr>
        <w:t>309</w:t>
      </w:r>
      <w:r w:rsidR="00355984">
        <w:rPr>
          <w:rFonts w:cstheme="minorHAnsi"/>
          <w:sz w:val="22"/>
          <w:szCs w:val="22"/>
        </w:rPr>
        <w:br/>
      </w:r>
      <w:r w:rsidRPr="00D60231">
        <w:rPr>
          <w:rFonts w:cstheme="minorHAnsi"/>
          <w:sz w:val="22"/>
          <w:szCs w:val="22"/>
        </w:rPr>
        <w:t xml:space="preserve">o powierzchni </w:t>
      </w:r>
      <w:r w:rsidR="00A63A1A">
        <w:rPr>
          <w:rFonts w:cstheme="minorHAnsi"/>
          <w:sz w:val="22"/>
          <w:szCs w:val="22"/>
        </w:rPr>
        <w:t>0,40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B033FD">
        <w:rPr>
          <w:rFonts w:cstheme="minorHAnsi"/>
          <w:sz w:val="22"/>
          <w:szCs w:val="22"/>
        </w:rPr>
        <w:t>Dzikowiec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CA2BA26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0477BDA5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DC087F">
        <w:rPr>
          <w:rFonts w:cstheme="minorHAnsi"/>
        </w:rPr>
        <w:t>7</w:t>
      </w:r>
      <w:r w:rsidR="00A63A1A">
        <w:rPr>
          <w:rFonts w:cstheme="minorHAnsi"/>
        </w:rPr>
        <w:t>4,00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A63A1A">
        <w:rPr>
          <w:rFonts w:cstheme="minorHAnsi"/>
        </w:rPr>
        <w:t xml:space="preserve">siedemdziesiąt cztery </w:t>
      </w:r>
      <w:r w:rsidR="004E0E73">
        <w:rPr>
          <w:rFonts w:cstheme="minorHAnsi"/>
        </w:rPr>
        <w:t>złot</w:t>
      </w:r>
      <w:r w:rsidR="00DC087F">
        <w:rPr>
          <w:rFonts w:cstheme="minorHAnsi"/>
        </w:rPr>
        <w:t>e</w:t>
      </w:r>
      <w:r w:rsidR="005F25DE">
        <w:rPr>
          <w:rFonts w:cstheme="minorHAnsi"/>
        </w:rPr>
        <w:t xml:space="preserve"> </w:t>
      </w:r>
      <w:r w:rsidR="00A63A1A">
        <w:rPr>
          <w:rFonts w:cstheme="minorHAnsi"/>
        </w:rPr>
        <w:t>00</w:t>
      </w:r>
      <w:r w:rsidRPr="00D60231">
        <w:rPr>
          <w:rFonts w:cstheme="minorHAnsi"/>
        </w:rPr>
        <w:t xml:space="preserve">/100) tj. </w:t>
      </w:r>
      <w:r w:rsidR="00DC087F">
        <w:rPr>
          <w:rFonts w:cstheme="minorHAnsi"/>
        </w:rPr>
        <w:t>1</w:t>
      </w:r>
      <w:r w:rsidR="00A63A1A">
        <w:rPr>
          <w:rFonts w:cstheme="minorHAnsi"/>
        </w:rPr>
        <w:t>85</w:t>
      </w:r>
      <w:r w:rsidR="005F25DE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7AAA7411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AB5D42">
        <w:rPr>
          <w:rFonts w:eastAsia="Calibri" w:cstheme="minorHAnsi"/>
          <w:kern w:val="0"/>
          <w14:ligatures w14:val="none"/>
        </w:rPr>
        <w:t>Dzikowiec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1669148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AB5D42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862074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8E3A5A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862074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862074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3721D172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A72599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47</w:t>
      </w:r>
      <w:r w:rsidR="00A63A1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4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A9073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</w:t>
      </w:r>
      <w:r w:rsidR="00B85001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 w:rsidR="00AB5D4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55FD4F30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2</w:t>
      </w:r>
      <w:r w:rsidR="00B85001">
        <w:rPr>
          <w:rFonts w:eastAsiaTheme="majorEastAsia" w:cstheme="minorHAnsi"/>
          <w:b/>
          <w:bCs/>
          <w:kern w:val="0"/>
          <w14:ligatures w14:val="none"/>
        </w:rPr>
        <w:t>2</w:t>
      </w:r>
      <w:r w:rsidR="00F43E5F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1</w:t>
      </w:r>
      <w:r w:rsidR="00B85001">
        <w:rPr>
          <w:rFonts w:eastAsiaTheme="majorEastAsia" w:cstheme="minorHAnsi"/>
          <w:b/>
          <w:bCs/>
          <w:kern w:val="0"/>
          <w14:ligatures w14:val="none"/>
        </w:rPr>
        <w:t>2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29889818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AB5D42">
        <w:rPr>
          <w:rFonts w:cstheme="minorHAnsi"/>
          <w:kern w:val="0"/>
          <w14:ligatures w14:val="none"/>
        </w:rPr>
        <w:t>Dzikowiec</w:t>
      </w:r>
    </w:p>
    <w:p w14:paraId="4D77EFCC" w14:textId="4B2FAAA0" w:rsid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Numer działki</w:t>
      </w:r>
      <w:r w:rsidRPr="005F25DE">
        <w:rPr>
          <w:rFonts w:cstheme="minorHAnsi"/>
          <w:kern w:val="0"/>
          <w14:ligatures w14:val="none"/>
        </w:rPr>
        <w:t>:</w:t>
      </w:r>
      <w:r w:rsidR="00A63A1A">
        <w:rPr>
          <w:rFonts w:cstheme="minorHAnsi"/>
          <w:kern w:val="0"/>
          <w14:ligatures w14:val="none"/>
        </w:rPr>
        <w:t xml:space="preserve"> część działki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A63A1A">
        <w:rPr>
          <w:rFonts w:cstheme="minorHAnsi"/>
          <w:kern w:val="0"/>
          <w14:ligatures w14:val="none"/>
        </w:rPr>
        <w:t>309</w:t>
      </w:r>
    </w:p>
    <w:p w14:paraId="6866E2CF" w14:textId="6FCFABB5" w:rsidR="002F20BB" w:rsidRP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Księga Wieczysta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93109D" w:rsidRPr="005F25DE">
        <w:rPr>
          <w:rFonts w:cstheme="minorHAnsi"/>
          <w:kern w:val="0"/>
          <w14:ligatures w14:val="none"/>
        </w:rPr>
        <w:t>SW2K/000</w:t>
      </w:r>
      <w:r w:rsidR="004E0E73" w:rsidRPr="005F25DE">
        <w:rPr>
          <w:rFonts w:cstheme="minorHAnsi"/>
          <w:kern w:val="0"/>
          <w14:ligatures w14:val="none"/>
        </w:rPr>
        <w:t>2</w:t>
      </w:r>
      <w:r w:rsidR="00AB5D42">
        <w:rPr>
          <w:rFonts w:cstheme="minorHAnsi"/>
          <w:kern w:val="0"/>
          <w14:ligatures w14:val="none"/>
        </w:rPr>
        <w:t>6448</w:t>
      </w:r>
      <w:r w:rsidR="004E0E73" w:rsidRPr="005F25DE">
        <w:rPr>
          <w:rFonts w:cstheme="minorHAnsi"/>
          <w:kern w:val="0"/>
          <w14:ligatures w14:val="none"/>
        </w:rPr>
        <w:t>/</w:t>
      </w:r>
      <w:r w:rsidR="00AB5D42">
        <w:rPr>
          <w:rFonts w:cstheme="minorHAnsi"/>
          <w:kern w:val="0"/>
          <w14:ligatures w14:val="none"/>
        </w:rPr>
        <w:t>6</w:t>
      </w:r>
    </w:p>
    <w:p w14:paraId="226E2B65" w14:textId="264C1A24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A63A1A">
        <w:rPr>
          <w:rFonts w:cstheme="minorHAnsi"/>
          <w:kern w:val="0"/>
          <w14:ligatures w14:val="none"/>
        </w:rPr>
        <w:t>0</w:t>
      </w:r>
      <w:r w:rsidRPr="00D60231">
        <w:rPr>
          <w:rFonts w:cstheme="minorHAnsi"/>
          <w:kern w:val="0"/>
          <w14:ligatures w14:val="none"/>
        </w:rPr>
        <w:t>,</w:t>
      </w:r>
      <w:r w:rsidR="00A63A1A">
        <w:rPr>
          <w:rFonts w:cstheme="minorHAnsi"/>
          <w:kern w:val="0"/>
          <w14:ligatures w14:val="none"/>
        </w:rPr>
        <w:t>40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0C8CDFB3" w:rsidR="0093109D" w:rsidRP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</w:t>
      </w:r>
      <w:r w:rsidR="00B85001">
        <w:rPr>
          <w:rFonts w:cstheme="minorHAnsi"/>
          <w:kern w:val="0"/>
          <w14:ligatures w14:val="none"/>
        </w:rPr>
        <w:t xml:space="preserve"> </w:t>
      </w:r>
      <w:r w:rsidR="00A63A1A">
        <w:rPr>
          <w:rFonts w:cstheme="minorHAnsi"/>
          <w:kern w:val="0"/>
          <w14:ligatures w14:val="none"/>
        </w:rPr>
        <w:t xml:space="preserve">części </w:t>
      </w:r>
      <w:r w:rsidRPr="00EE54A9">
        <w:rPr>
          <w:rFonts w:cstheme="minorHAnsi"/>
          <w:kern w:val="0"/>
          <w14:ligatures w14:val="none"/>
        </w:rPr>
        <w:t>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5F25DE">
        <w:rPr>
          <w:rFonts w:cstheme="minorHAnsi"/>
          <w:kern w:val="0"/>
          <w14:ligatures w14:val="none"/>
        </w:rPr>
        <w:t xml:space="preserve"> </w:t>
      </w:r>
      <w:r w:rsidR="00A63A1A">
        <w:rPr>
          <w:rFonts w:cstheme="minorHAnsi"/>
          <w:kern w:val="0"/>
          <w14:ligatures w14:val="none"/>
        </w:rPr>
        <w:t>309</w:t>
      </w:r>
      <w:r w:rsidR="005F25DE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obręb </w:t>
      </w:r>
      <w:r w:rsidR="00AB5D42">
        <w:rPr>
          <w:rFonts w:cstheme="minorHAnsi"/>
          <w:kern w:val="0"/>
          <w14:ligatures w14:val="none"/>
        </w:rPr>
        <w:t>Dzikowiec</w:t>
      </w:r>
      <w:r w:rsidR="007D752F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o</w:t>
      </w:r>
      <w:r w:rsidR="007D752F">
        <w:rPr>
          <w:rFonts w:cstheme="minorHAnsi"/>
          <w:kern w:val="0"/>
          <w14:ligatures w14:val="none"/>
        </w:rPr>
        <w:t xml:space="preserve"> </w:t>
      </w:r>
      <w:r w:rsidR="00320761">
        <w:rPr>
          <w:rFonts w:cstheme="minorHAnsi"/>
          <w:kern w:val="0"/>
          <w14:ligatures w14:val="none"/>
        </w:rPr>
        <w:t xml:space="preserve">ogólnej </w:t>
      </w:r>
      <w:r w:rsidR="00B85001">
        <w:rPr>
          <w:rFonts w:cstheme="minorHAnsi"/>
          <w:kern w:val="0"/>
          <w14:ligatures w14:val="none"/>
        </w:rPr>
        <w:t>p</w:t>
      </w:r>
      <w:r w:rsidRPr="00EE54A9">
        <w:rPr>
          <w:rFonts w:cstheme="minorHAnsi"/>
          <w:kern w:val="0"/>
          <w14:ligatures w14:val="none"/>
        </w:rPr>
        <w:t>ow.</w:t>
      </w:r>
      <w:r w:rsidR="00DC087F">
        <w:rPr>
          <w:rFonts w:cstheme="minorHAnsi"/>
          <w:kern w:val="0"/>
          <w14:ligatures w14:val="none"/>
        </w:rPr>
        <w:t xml:space="preserve"> </w:t>
      </w:r>
      <w:r w:rsidR="00A63A1A">
        <w:rPr>
          <w:rFonts w:cstheme="minorHAnsi"/>
          <w:kern w:val="0"/>
          <w14:ligatures w14:val="none"/>
        </w:rPr>
        <w:t>0</w:t>
      </w:r>
      <w:r w:rsidR="008E3A5A">
        <w:rPr>
          <w:rFonts w:cstheme="minorHAnsi"/>
          <w:kern w:val="0"/>
          <w14:ligatures w14:val="none"/>
        </w:rPr>
        <w:t>,</w:t>
      </w:r>
      <w:r w:rsidR="00A63A1A">
        <w:rPr>
          <w:rFonts w:cstheme="minorHAnsi"/>
          <w:kern w:val="0"/>
          <w14:ligatures w14:val="none"/>
        </w:rPr>
        <w:t>40</w:t>
      </w:r>
      <w:r w:rsidR="00AB5D42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 xml:space="preserve">ha sklasyfikowana jako </w:t>
      </w:r>
      <w:r w:rsidR="00A63A1A">
        <w:rPr>
          <w:rFonts w:cstheme="minorHAnsi"/>
          <w:kern w:val="0"/>
          <w14:ligatures w14:val="none"/>
        </w:rPr>
        <w:t>RI</w:t>
      </w:r>
      <w:r w:rsidR="00DC087F">
        <w:rPr>
          <w:rFonts w:cstheme="minorHAnsi"/>
          <w:kern w:val="0"/>
          <w14:ligatures w14:val="none"/>
        </w:rPr>
        <w:t>V</w:t>
      </w:r>
      <w:r w:rsidR="00A63A1A">
        <w:rPr>
          <w:rFonts w:cstheme="minorHAnsi"/>
          <w:kern w:val="0"/>
          <w14:ligatures w14:val="none"/>
        </w:rPr>
        <w:t>a</w:t>
      </w:r>
      <w:r w:rsidR="00DC087F">
        <w:rPr>
          <w:rFonts w:cstheme="minorHAnsi"/>
          <w:kern w:val="0"/>
          <w14:ligatures w14:val="none"/>
        </w:rPr>
        <w:t>-0</w:t>
      </w:r>
      <w:r w:rsidR="00A63A1A">
        <w:rPr>
          <w:rFonts w:cstheme="minorHAnsi"/>
          <w:kern w:val="0"/>
          <w14:ligatures w14:val="none"/>
        </w:rPr>
        <w:t>,21</w:t>
      </w:r>
      <w:r w:rsidR="00DC087F">
        <w:rPr>
          <w:rFonts w:cstheme="minorHAnsi"/>
          <w:kern w:val="0"/>
          <w14:ligatures w14:val="none"/>
        </w:rPr>
        <w:t xml:space="preserve"> ha, </w:t>
      </w:r>
      <w:r w:rsidR="008E3A5A">
        <w:rPr>
          <w:rFonts w:cstheme="minorHAnsi"/>
          <w:kern w:val="0"/>
          <w14:ligatures w14:val="none"/>
        </w:rPr>
        <w:t>RI</w:t>
      </w:r>
      <w:r w:rsidR="00A63A1A">
        <w:rPr>
          <w:rFonts w:cstheme="minorHAnsi"/>
          <w:kern w:val="0"/>
          <w14:ligatures w14:val="none"/>
        </w:rPr>
        <w:t>IIb</w:t>
      </w:r>
      <w:r w:rsidR="00320761">
        <w:rPr>
          <w:rFonts w:cstheme="minorHAnsi"/>
          <w:kern w:val="0"/>
          <w14:ligatures w14:val="none"/>
        </w:rPr>
        <w:t>-</w:t>
      </w:r>
      <w:r w:rsidR="00DC087F">
        <w:rPr>
          <w:rFonts w:cstheme="minorHAnsi"/>
          <w:kern w:val="0"/>
          <w14:ligatures w14:val="none"/>
        </w:rPr>
        <w:t>0,</w:t>
      </w:r>
      <w:r w:rsidR="00A63A1A">
        <w:rPr>
          <w:rFonts w:cstheme="minorHAnsi"/>
          <w:kern w:val="0"/>
          <w14:ligatures w14:val="none"/>
        </w:rPr>
        <w:t>15</w:t>
      </w:r>
      <w:r w:rsidR="008E3A5A">
        <w:rPr>
          <w:rFonts w:cstheme="minorHAnsi"/>
          <w:kern w:val="0"/>
          <w14:ligatures w14:val="none"/>
        </w:rPr>
        <w:t xml:space="preserve"> </w:t>
      </w:r>
      <w:r w:rsidR="00DC087F">
        <w:rPr>
          <w:rFonts w:cstheme="minorHAnsi"/>
          <w:kern w:val="0"/>
          <w14:ligatures w14:val="none"/>
        </w:rPr>
        <w:t>ha</w:t>
      </w:r>
      <w:r w:rsidR="00320761">
        <w:rPr>
          <w:rFonts w:cstheme="minorHAnsi"/>
          <w:kern w:val="0"/>
          <w14:ligatures w14:val="none"/>
        </w:rPr>
        <w:t>,</w:t>
      </w:r>
      <w:r w:rsidR="00DC087F">
        <w:rPr>
          <w:rFonts w:cstheme="minorHAnsi"/>
          <w:kern w:val="0"/>
          <w14:ligatures w14:val="none"/>
        </w:rPr>
        <w:t xml:space="preserve"> </w:t>
      </w:r>
      <w:r w:rsidR="00A63A1A">
        <w:rPr>
          <w:rFonts w:cstheme="minorHAnsi"/>
          <w:kern w:val="0"/>
          <w14:ligatures w14:val="none"/>
        </w:rPr>
        <w:t>PsIV</w:t>
      </w:r>
      <w:r w:rsidR="00DC087F">
        <w:rPr>
          <w:rFonts w:cstheme="minorHAnsi"/>
          <w:kern w:val="0"/>
          <w14:ligatures w14:val="none"/>
        </w:rPr>
        <w:t>-0,</w:t>
      </w:r>
      <w:r w:rsidR="00A63A1A">
        <w:rPr>
          <w:rFonts w:cstheme="minorHAnsi"/>
          <w:kern w:val="0"/>
          <w14:ligatures w14:val="none"/>
        </w:rPr>
        <w:t>04</w:t>
      </w:r>
      <w:r w:rsidR="008E3A5A">
        <w:rPr>
          <w:rFonts w:cstheme="minorHAnsi"/>
          <w:kern w:val="0"/>
          <w14:ligatures w14:val="none"/>
        </w:rPr>
        <w:t xml:space="preserve"> ha</w:t>
      </w:r>
      <w:r w:rsidR="00DC087F">
        <w:rPr>
          <w:rFonts w:cstheme="minorHAnsi"/>
          <w:kern w:val="0"/>
          <w14:ligatures w14:val="none"/>
        </w:rPr>
        <w:t>,</w:t>
      </w:r>
      <w:r w:rsidR="008E3A5A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przeznaczona do wydzierżawienia na cele związane 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>ziałka nr</w:t>
      </w:r>
      <w:r w:rsidR="007D752F">
        <w:rPr>
          <w:rFonts w:ascii="Calibri" w:hAnsi="Calibri" w:cs="Calibri"/>
          <w:kern w:val="0"/>
          <w14:ligatures w14:val="none"/>
        </w:rPr>
        <w:t xml:space="preserve"> </w:t>
      </w:r>
      <w:r w:rsidR="00A63A1A">
        <w:rPr>
          <w:rFonts w:ascii="Calibri" w:hAnsi="Calibri" w:cs="Calibri"/>
          <w:kern w:val="0"/>
          <w14:ligatures w14:val="none"/>
        </w:rPr>
        <w:t xml:space="preserve">309 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położona w </w:t>
      </w:r>
      <w:r w:rsidR="00AB5D42">
        <w:rPr>
          <w:rFonts w:ascii="Calibri" w:hAnsi="Calibri" w:cs="Calibri"/>
          <w:kern w:val="0"/>
          <w14:ligatures w14:val="none"/>
        </w:rPr>
        <w:t>Dzikowcu</w:t>
      </w:r>
      <w:r w:rsidR="00F43E5F">
        <w:rPr>
          <w:rFonts w:ascii="Calibri" w:hAnsi="Calibri" w:cs="Calibri"/>
          <w:kern w:val="0"/>
          <w14:ligatures w14:val="none"/>
        </w:rPr>
        <w:t xml:space="preserve"> </w:t>
      </w:r>
      <w:r w:rsidR="004E0E73" w:rsidRPr="00EE54A9">
        <w:rPr>
          <w:rFonts w:ascii="Calibri" w:hAnsi="Calibri" w:cs="Calibri"/>
          <w:kern w:val="0"/>
          <w14:ligatures w14:val="none"/>
        </w:rPr>
        <w:t>nie jest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</w:t>
      </w:r>
      <w:r w:rsidR="00B85001">
        <w:rPr>
          <w:rFonts w:ascii="Calibri" w:hAnsi="Calibri" w:cs="Calibri"/>
          <w:kern w:val="0"/>
          <w14:ligatures w14:val="none"/>
        </w:rPr>
        <w:t>.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192E0FC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5F25DE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670F3F53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8E3A5A">
        <w:rPr>
          <w:rFonts w:cstheme="minorHAnsi"/>
          <w:kern w:val="0"/>
          <w14:ligatures w14:val="none"/>
        </w:rPr>
        <w:t>7</w:t>
      </w:r>
      <w:r w:rsidR="00A63A1A">
        <w:rPr>
          <w:rFonts w:cstheme="minorHAnsi"/>
          <w:kern w:val="0"/>
          <w14:ligatures w14:val="none"/>
        </w:rPr>
        <w:t>4</w:t>
      </w:r>
      <w:r w:rsidR="00DC087F">
        <w:rPr>
          <w:rFonts w:cstheme="minorHAnsi"/>
          <w:kern w:val="0"/>
          <w14:ligatures w14:val="none"/>
        </w:rPr>
        <w:t>,</w:t>
      </w:r>
      <w:r w:rsidR="00A63A1A">
        <w:rPr>
          <w:rFonts w:cstheme="minorHAnsi"/>
          <w:kern w:val="0"/>
          <w14:ligatures w14:val="none"/>
        </w:rPr>
        <w:t>00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862074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r w:rsidRPr="00862074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862074">
        <w:rPr>
          <w:rFonts w:cs="Calibri"/>
          <w:color w:val="000000" w:themeColor="text1"/>
          <w:kern w:val="0"/>
          <w14:ligatures w14:val="none"/>
        </w:rPr>
        <w:t>/Z up. Wójta Anna Zawiślak -  Zastępca Wójta/</w:t>
      </w:r>
      <w:r w:rsidRPr="00862074">
        <w:rPr>
          <w:rFonts w:cs="Calibri"/>
          <w:color w:val="000000" w:themeColor="text1"/>
          <w:kern w:val="0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BCE63D12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2"/>
        <w:szCs w:val="22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DE6428F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2"/>
        <w:szCs w:val="22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0397A"/>
    <w:rsid w:val="0012288B"/>
    <w:rsid w:val="00185FEA"/>
    <w:rsid w:val="001F3470"/>
    <w:rsid w:val="002473C9"/>
    <w:rsid w:val="002C7046"/>
    <w:rsid w:val="002F20BB"/>
    <w:rsid w:val="00320761"/>
    <w:rsid w:val="00340264"/>
    <w:rsid w:val="00355984"/>
    <w:rsid w:val="003D1789"/>
    <w:rsid w:val="003E1881"/>
    <w:rsid w:val="004062E6"/>
    <w:rsid w:val="004B67F6"/>
    <w:rsid w:val="004D6059"/>
    <w:rsid w:val="004E0E73"/>
    <w:rsid w:val="005647C9"/>
    <w:rsid w:val="005F1451"/>
    <w:rsid w:val="005F25DE"/>
    <w:rsid w:val="00644660"/>
    <w:rsid w:val="00646C88"/>
    <w:rsid w:val="007776D8"/>
    <w:rsid w:val="007B446F"/>
    <w:rsid w:val="007D752F"/>
    <w:rsid w:val="007F264C"/>
    <w:rsid w:val="007F7BA3"/>
    <w:rsid w:val="00862074"/>
    <w:rsid w:val="008A16E4"/>
    <w:rsid w:val="008A25FB"/>
    <w:rsid w:val="008E3A5A"/>
    <w:rsid w:val="008E6685"/>
    <w:rsid w:val="00910A3B"/>
    <w:rsid w:val="00913DCB"/>
    <w:rsid w:val="0093109D"/>
    <w:rsid w:val="009E21A5"/>
    <w:rsid w:val="00A63A1A"/>
    <w:rsid w:val="00A71DB3"/>
    <w:rsid w:val="00A72599"/>
    <w:rsid w:val="00A84746"/>
    <w:rsid w:val="00A90736"/>
    <w:rsid w:val="00AB5D42"/>
    <w:rsid w:val="00B033FD"/>
    <w:rsid w:val="00B513C8"/>
    <w:rsid w:val="00B76761"/>
    <w:rsid w:val="00B82AE4"/>
    <w:rsid w:val="00B85001"/>
    <w:rsid w:val="00C2774D"/>
    <w:rsid w:val="00C65DEB"/>
    <w:rsid w:val="00CA584E"/>
    <w:rsid w:val="00CB6B4B"/>
    <w:rsid w:val="00CF35EA"/>
    <w:rsid w:val="00D11E76"/>
    <w:rsid w:val="00D60231"/>
    <w:rsid w:val="00D91400"/>
    <w:rsid w:val="00DC087F"/>
    <w:rsid w:val="00ED5934"/>
    <w:rsid w:val="00EE54A9"/>
    <w:rsid w:val="00EF0659"/>
    <w:rsid w:val="00F43E5F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58</cp:revision>
  <cp:lastPrinted>2023-09-22T11:09:00Z</cp:lastPrinted>
  <dcterms:created xsi:type="dcterms:W3CDTF">2023-09-15T07:14:00Z</dcterms:created>
  <dcterms:modified xsi:type="dcterms:W3CDTF">2023-09-22T11:09:00Z</dcterms:modified>
</cp:coreProperties>
</file>