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8244C9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46679">
        <w:rPr>
          <w:rStyle w:val="Pogrubienie"/>
        </w:rPr>
        <w:t>544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46679">
        <w:rPr>
          <w:rStyle w:val="Pogrubienie"/>
        </w:rPr>
        <w:t xml:space="preserve">04 </w:t>
      </w:r>
      <w:r w:rsidR="001C228F">
        <w:rPr>
          <w:rStyle w:val="Pogrubienie"/>
        </w:rPr>
        <w:t>października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FFE0BDB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1C228F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1C228F">
        <w:rPr>
          <w:rFonts w:ascii="Calibri" w:hAnsi="Calibri" w:cs="Calibri"/>
        </w:rPr>
        <w:t>12/11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C228F">
        <w:rPr>
          <w:rFonts w:ascii="Calibri" w:hAnsi="Calibri" w:cs="Calibri"/>
        </w:rPr>
        <w:t>1,63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1C228F">
        <w:rPr>
          <w:rFonts w:ascii="Calibri" w:hAnsi="Calibri" w:cs="Calibri"/>
        </w:rPr>
        <w:t>08 Krajanów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0365886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C228F">
        <w:rPr>
          <w:rFonts w:ascii="Calibri" w:hAnsi="Calibri" w:cs="Calibri"/>
        </w:rPr>
        <w:t>2.937,26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C228F">
        <w:rPr>
          <w:rFonts w:ascii="Calibri" w:hAnsi="Calibri" w:cs="Calibri"/>
        </w:rPr>
        <w:t>dwa tysiące dziewięćset trzydzieści siedem złotych 26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89682F">
        <w:rPr>
          <w:rFonts w:ascii="Calibri" w:hAnsi="Calibri" w:cs="Calibri"/>
        </w:rPr>
        <w:t>1</w:t>
      </w:r>
      <w:r w:rsidR="001C228F">
        <w:rPr>
          <w:rFonts w:ascii="Calibri" w:hAnsi="Calibri" w:cs="Calibri"/>
        </w:rPr>
        <w:t>.802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70DD0A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1C228F">
        <w:rPr>
          <w:rFonts w:ascii="Calibri" w:eastAsia="Calibri" w:hAnsi="Calibri" w:cs="Calibri"/>
        </w:rPr>
        <w:t>Krajanów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617672E" w:rsidR="00170181" w:rsidRPr="0024667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46679">
        <w:rPr>
          <w:rFonts w:cs="Calibri"/>
        </w:rPr>
        <w:tab/>
      </w:r>
      <w:bookmarkStart w:id="1" w:name="_Hlk51660687"/>
      <w:r w:rsidR="001106E3" w:rsidRPr="00246679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68A4129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246679">
        <w:t xml:space="preserve"> 544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246679">
        <w:t xml:space="preserve"> 04</w:t>
      </w:r>
      <w:r w:rsidR="004D058C">
        <w:t xml:space="preserve"> </w:t>
      </w:r>
      <w:r w:rsidR="001C228F">
        <w:t>października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DD5173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46679">
        <w:rPr>
          <w:rStyle w:val="Pogrubienie"/>
          <w:rFonts w:asciiTheme="minorHAnsi" w:hAnsiTheme="minorHAnsi" w:cstheme="minorHAnsi"/>
        </w:rPr>
        <w:t>04</w:t>
      </w:r>
      <w:r w:rsidR="004D058C">
        <w:rPr>
          <w:rStyle w:val="Pogrubienie"/>
          <w:rFonts w:asciiTheme="minorHAnsi" w:hAnsiTheme="minorHAnsi" w:cstheme="minorHAnsi"/>
        </w:rPr>
        <w:t xml:space="preserve"> </w:t>
      </w:r>
      <w:r w:rsidR="005E4334">
        <w:rPr>
          <w:rStyle w:val="Pogrubienie"/>
          <w:rFonts w:asciiTheme="minorHAnsi" w:hAnsiTheme="minorHAnsi" w:cstheme="minorHAnsi"/>
        </w:rPr>
        <w:t>p</w:t>
      </w:r>
      <w:r w:rsidR="001C228F">
        <w:rPr>
          <w:rStyle w:val="Pogrubienie"/>
          <w:rFonts w:asciiTheme="minorHAnsi" w:hAnsiTheme="minorHAnsi" w:cstheme="minorHAnsi"/>
        </w:rPr>
        <w:t xml:space="preserve">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46679">
        <w:rPr>
          <w:rStyle w:val="Pogrubienie"/>
          <w:rFonts w:asciiTheme="minorHAnsi" w:hAnsiTheme="minorHAnsi" w:cstheme="minorHAnsi"/>
        </w:rPr>
        <w:t>24</w:t>
      </w:r>
      <w:r w:rsidR="005E4334">
        <w:rPr>
          <w:rStyle w:val="Pogrubienie"/>
          <w:rFonts w:asciiTheme="minorHAnsi" w:hAnsiTheme="minorHAnsi" w:cstheme="minorHAnsi"/>
        </w:rPr>
        <w:t> </w:t>
      </w:r>
      <w:r w:rsidR="004D058C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B5EDC1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E4334">
        <w:rPr>
          <w:rFonts w:ascii="Calibri" w:hAnsi="Calibri" w:cs="Calibri"/>
        </w:rPr>
        <w:t>Krajanów</w:t>
      </w:r>
    </w:p>
    <w:p w14:paraId="320B73F1" w14:textId="226A233C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46679">
        <w:rPr>
          <w:rFonts w:ascii="Calibri" w:hAnsi="Calibri" w:cs="Calibri"/>
        </w:rPr>
        <w:t xml:space="preserve">część działki nr </w:t>
      </w:r>
      <w:r w:rsidR="005E4334">
        <w:rPr>
          <w:rFonts w:ascii="Calibri" w:hAnsi="Calibri" w:cs="Calibri"/>
        </w:rPr>
        <w:t>12/11</w:t>
      </w:r>
    </w:p>
    <w:p w14:paraId="2664925F" w14:textId="5359E8A1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</w:t>
      </w:r>
      <w:r w:rsidR="005E4334">
        <w:rPr>
          <w:rFonts w:ascii="Calibri" w:hAnsi="Calibri" w:cs="Calibri"/>
        </w:rPr>
        <w:t>5858/6</w:t>
      </w:r>
    </w:p>
    <w:p w14:paraId="353A3E4D" w14:textId="39ED099D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E4334">
        <w:rPr>
          <w:rFonts w:ascii="Calibri" w:hAnsi="Calibri" w:cs="Calibri"/>
        </w:rPr>
        <w:t>1,63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093FE4DE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E4334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5E4334">
        <w:rPr>
          <w:rFonts w:ascii="Calibri" w:hAnsi="Calibri" w:cs="Calibri"/>
        </w:rPr>
        <w:t>12/11</w:t>
      </w:r>
      <w:r w:rsidR="00F97C94" w:rsidRPr="00227DCC">
        <w:rPr>
          <w:rFonts w:ascii="Calibri" w:hAnsi="Calibri" w:cs="Calibri"/>
        </w:rPr>
        <w:t>, AM-</w:t>
      </w:r>
      <w:r w:rsidR="005E4334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5E4334">
        <w:rPr>
          <w:rFonts w:ascii="Calibri" w:hAnsi="Calibri" w:cs="Calibri"/>
        </w:rPr>
        <w:t>08 Krajanów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5E4334">
        <w:rPr>
          <w:rFonts w:ascii="Calibri" w:hAnsi="Calibri" w:cs="Calibri"/>
        </w:rPr>
        <w:t>1,63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5E4334">
        <w:rPr>
          <w:rFonts w:ascii="Calibri" w:hAnsi="Calibri" w:cs="Calibri"/>
        </w:rPr>
        <w:t>PsIV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5E4334">
        <w:rPr>
          <w:rFonts w:ascii="Calibri" w:hAnsi="Calibri" w:cs="Calibri"/>
        </w:rPr>
        <w:t xml:space="preserve">12/11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proofErr w:type="spellStart"/>
      <w:r w:rsidR="005E4334">
        <w:rPr>
          <w:rFonts w:ascii="Calibri" w:hAnsi="Calibri" w:cs="Calibri"/>
        </w:rPr>
        <w:t>Krajanowie</w:t>
      </w:r>
      <w:proofErr w:type="spellEnd"/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17ED2875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5E4334">
        <w:rPr>
          <w:rFonts w:ascii="Calibri" w:hAnsi="Calibri" w:cs="Calibri"/>
        </w:rPr>
        <w:t>2.937,26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2E85525" w:rsidR="007F5B19" w:rsidRPr="0024667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46679">
        <w:rPr>
          <w:rFonts w:cs="Calibri"/>
        </w:rPr>
        <w:tab/>
        <w:t>/</w:t>
      </w:r>
      <w:r w:rsidR="00250778" w:rsidRPr="00246679">
        <w:rPr>
          <w:rFonts w:cs="Calibri"/>
        </w:rPr>
        <w:t>Z up. Wójta Anna Zawiślak - Zastępca Wójta</w:t>
      </w:r>
      <w:r w:rsidRPr="00246679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E66A" w14:textId="77777777" w:rsidR="00E57039" w:rsidRDefault="00E57039" w:rsidP="00091E21">
      <w:pPr>
        <w:spacing w:line="240" w:lineRule="auto"/>
      </w:pPr>
      <w:r>
        <w:separator/>
      </w:r>
    </w:p>
  </w:endnote>
  <w:endnote w:type="continuationSeparator" w:id="0">
    <w:p w14:paraId="28BABE41" w14:textId="77777777" w:rsidR="00E57039" w:rsidRDefault="00E5703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705CD" w14:textId="77777777" w:rsidR="00E57039" w:rsidRDefault="00E57039" w:rsidP="00091E21">
      <w:pPr>
        <w:spacing w:line="240" w:lineRule="auto"/>
      </w:pPr>
      <w:r>
        <w:separator/>
      </w:r>
    </w:p>
  </w:footnote>
  <w:footnote w:type="continuationSeparator" w:id="0">
    <w:p w14:paraId="34CFF239" w14:textId="77777777" w:rsidR="00E57039" w:rsidRDefault="00E5703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C228F"/>
    <w:rsid w:val="001E15E0"/>
    <w:rsid w:val="00201AE0"/>
    <w:rsid w:val="00223E9F"/>
    <w:rsid w:val="00227DCC"/>
    <w:rsid w:val="00230B46"/>
    <w:rsid w:val="00246679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E4334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57039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2022-10-04T10:02:00Z</cp:lastPrinted>
  <dcterms:created xsi:type="dcterms:W3CDTF">2022-10-04T10:07:00Z</dcterms:created>
  <dcterms:modified xsi:type="dcterms:W3CDTF">2022-10-04T10:07:00Z</dcterms:modified>
</cp:coreProperties>
</file>