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ZARZĄDZENIE  NR 196/22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WÓJTA GMINY NOWA RUDA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 dnia 20 maja 2022 roku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 sprawie użyczenia części nieruchomości stanowiącej własność Gminy Nowa Ruda i ogłoszenia wykazu nieruchomości przeznaczonej do użyczenia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Na podstawie art. 30 ust.2 pkt. 3 ustawy z dnia 8 marca 1990 roku o samorządzie gminnym (</w:t>
      </w:r>
      <w:r>
        <w:rPr/>
        <w:t>t.j. Dz. U. z 2022 r. poz. 559)</w:t>
      </w:r>
      <w:r>
        <w:rPr>
          <w:rFonts w:cs="Calibri" w:cstheme="minorHAnsi"/>
          <w:sz w:val="24"/>
          <w:szCs w:val="24"/>
        </w:rPr>
        <w:t xml:space="preserve"> art. 13 ust. 1 i art. 25 ust. 1, art.35 ust. 1b ustawy z dnia  21 sierpnia 1997roku o gospodarce nieruchomościami (t.j. Dz.U. z 2021r. poz.1899 z póź.zm.),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5 ust.1 Uchwały Nr 252/XXXIII/13 Rady Gminy Nowa Ruda z dnia 29 stycznia 2013 roku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sprawie zasad gospodarowania nieruchomościami stanowiącymi własność Gminy Nowa Ruda (Dziennik Urzędowy Województwa Dolnośląskiego z dnia 14 marca 2013 roku, poz. 1851 z póź. zm.) Wójt Gminy Nowa Ruda </w:t>
      </w:r>
      <w:r>
        <w:rPr>
          <w:rFonts w:cs="Calibri" w:cstheme="minorHAnsi"/>
          <w:bCs/>
          <w:sz w:val="24"/>
          <w:szCs w:val="24"/>
        </w:rPr>
        <w:t>zarządza,</w:t>
      </w:r>
      <w:r>
        <w:rPr>
          <w:rFonts w:cs="Calibri" w:cstheme="minorHAnsi"/>
          <w:sz w:val="24"/>
          <w:szCs w:val="24"/>
        </w:rPr>
        <w:t xml:space="preserve"> co następuje: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1. 1. Gmina Nowa Ruda użycza na czas oznaczony t.j. od 11 czerwca 2022r. do  11 czerwca 2024 r na rzecz </w:t>
      </w:r>
      <w:r>
        <w:rPr>
          <w:rFonts w:cs="Calibri" w:cstheme="minorHAnsi"/>
          <w:bCs/>
          <w:sz w:val="24"/>
          <w:szCs w:val="24"/>
        </w:rPr>
        <w:t>Stowarzyszenia pn.: „KS Tom-Dar. Ludwikowice” z siedzibą, 57-450  Ludwikowice Kłodzkie, ul. Fabryczna 9</w:t>
      </w:r>
      <w:r>
        <w:rPr>
          <w:rFonts w:cs="Calibri" w:cstheme="minorHAnsi"/>
          <w:sz w:val="24"/>
          <w:szCs w:val="24"/>
        </w:rPr>
        <w:t xml:space="preserve"> część działki gruntu oznaczonej geodezyjnie numerem 155 AM-1 o powierzchni 0,02 ha, położonej w Jugowie. W ewidencji gruntów i budynków Starosty Kłodzkiego sklasyfikowana jako Bz – tereny rekreacyjno–wypoczynkowe, zabudowanej budynkiem zaplecza socjalnego dla boiska sportowego w związku z wykonywaniem celów statutowych Biorącego do używania, w szczególności: organizowaniem i propagowaniem sportu wśród dzieci i młodzieży oraz osób pełnoletnich, upowszechnianiem kultury fizycznej, sportu i rekreacji, zapewnieniem młodzieży możliwości udziału w sporcie, prowadzeniem szkoleń sportowych - opisane w wykazie stanowiącym załącznik do niniejszego zarządzenia.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2.Wykaz o którym mowa w § 1 ust.1 wywiesza się na okres 21 dni na tablicy ogłoszeń w Urzędzie Gminy Nowa Ruda, ul. Niepodległości, ul. nr 2, zamieszcza się w Biuletynie Informacji Publicznej, na stronie internetowej Urzędu Gminy Nowa Ruda oraz na tablicy ogłoszeń Sołectwa Jugów. Informację o zamieszczeniu wykazu podaje się do publicznej wiadomości poprzez ogłoszenie w prasie lokalnej</w:t>
        <w:br/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§3. Wykonanie zarządzenia powierza się kierownikowi Referatu Gospodarki Nieruchomościami i Geodezji.</w:t>
        <w:br/>
        <w:t>§ 4. Zarządzenie wchodzi w życie z dniem wydania.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jc w:val="right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>/Z up. Wójta</w:t>
      </w:r>
      <w:r>
        <w:rPr>
          <w:color w:val="FFFFFF" w:themeColor="background1"/>
          <w:sz w:val="24"/>
          <w:szCs w:val="24"/>
        </w:rPr>
        <w:t xml:space="preserve"> </w:t>
      </w:r>
      <w:r>
        <w:rPr>
          <w:sz w:val="24"/>
          <w:szCs w:val="24"/>
        </w:rPr>
        <w:t>Anna Zawiślak</w:t>
      </w:r>
      <w:r>
        <w:rPr>
          <w:color w:val="FFFFFF" w:themeColor="background1"/>
          <w:sz w:val="24"/>
          <w:szCs w:val="24"/>
        </w:rPr>
        <w:t xml:space="preserve"> </w:t>
      </w:r>
      <w:r>
        <w:rPr>
          <w:sz w:val="24"/>
          <w:szCs w:val="24"/>
        </w:rPr>
        <w:t>– Zastępca Wójta/</w:t>
      </w:r>
      <w:r>
        <w:rPr>
          <w:color w:val="FFFFFF" w:themeColor="background1"/>
          <w:sz w:val="24"/>
          <w:szCs w:val="24"/>
        </w:rPr>
        <w:t xml:space="preserve">  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uto" w:line="360" w:before="120" w:after="0"/>
        <w:outlineLvl w:val="0"/>
        <w:rPr>
          <w:rFonts w:ascii="Calibri" w:hAnsi="Calibri" w:eastAsia="Times New Roman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eastAsia="Times New Roman" w:cs="Calibri" w:cstheme="minorHAnsi"/>
          <w:color w:val="000000" w:themeColor="text1"/>
          <w:sz w:val="24"/>
          <w:szCs w:val="24"/>
        </w:rPr>
        <w:t xml:space="preserve">Załącznik do Zarządzenia </w:t>
        <w:br/>
        <w:t>Wójta Gminy Nowa Ruda Nr 196/22</w:t>
        <w:br/>
        <w:t>z dnia 20.05.2022 roku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uto" w:line="360" w:before="40" w:after="0"/>
        <w:outlineLvl w:val="1"/>
        <w:rPr>
          <w:rFonts w:ascii="Calibri" w:hAnsi="Calibri" w:eastAsia="Times New Roman" w:cs="Calibri" w:asciiTheme="minorHAnsi" w:cstheme="minorHAnsi" w:hAnsiTheme="minorHAnsi"/>
          <w:color w:val="000000" w:themeColor="text1"/>
          <w:sz w:val="26"/>
          <w:szCs w:val="26"/>
        </w:rPr>
      </w:pPr>
      <w:r>
        <w:rPr>
          <w:rFonts w:eastAsia="Times New Roman" w:cs="Calibri" w:cstheme="minorHAnsi"/>
          <w:color w:val="000000" w:themeColor="text1"/>
          <w:sz w:val="26"/>
          <w:szCs w:val="26"/>
        </w:rPr>
        <w:t>Wykaz nieruchomości przeznaczonej do użyczenia</w:t>
      </w:r>
    </w:p>
    <w:p>
      <w:pPr>
        <w:pStyle w:val="Normal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Wykaz wywiesza się na okres od dnia 20.05.2022 r. do dnia 30.05.2022 r.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Oznaczenie nieruchomości: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1)nr księgi wieczystej: bez urządzonej księgi wieczystej</w:t>
      </w:r>
    </w:p>
    <w:p>
      <w:pPr>
        <w:pStyle w:val="Normal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2)według katastru nieruchomości</w:t>
      </w:r>
      <w:r>
        <w:rPr>
          <w:b/>
          <w:bCs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część działki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nr 155, obręb 0007 Jugów</w:t>
      </w:r>
    </w:p>
    <w:p>
      <w:pPr>
        <w:pStyle w:val="Normal"/>
        <w:suppressAutoHyphens w:val="true"/>
        <w:spacing w:lineRule="auto" w:line="360" w:before="0" w:after="0"/>
        <w:rPr>
          <w:color w:val="000000" w:themeColor="text1"/>
          <w:sz w:val="24"/>
          <w:szCs w:val="24"/>
          <w:vertAlign w:val="superscript"/>
        </w:rPr>
      </w:pPr>
      <w:r>
        <w:rPr>
          <w:b/>
          <w:bCs/>
          <w:color w:val="000000" w:themeColor="text1"/>
          <w:sz w:val="24"/>
          <w:szCs w:val="24"/>
        </w:rPr>
        <w:t xml:space="preserve">2.Powierzchnia nieruchomości : </w:t>
      </w:r>
      <w:r>
        <w:rPr>
          <w:color w:val="000000" w:themeColor="text1"/>
          <w:sz w:val="24"/>
          <w:szCs w:val="24"/>
        </w:rPr>
        <w:t xml:space="preserve"> 0,02m</w:t>
      </w:r>
      <w:r>
        <w:rPr>
          <w:color w:val="000000" w:themeColor="text1"/>
          <w:sz w:val="24"/>
          <w:szCs w:val="24"/>
          <w:vertAlign w:val="superscript"/>
        </w:rPr>
        <w:t>2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3.Opis nieruchomości, przeznaczenie i sposób zagospodarowania: </w:t>
      </w:r>
      <w:r>
        <w:rPr>
          <w:rFonts w:cs="Calibri" w:cstheme="minorHAnsi"/>
          <w:sz w:val="24"/>
          <w:szCs w:val="24"/>
        </w:rPr>
        <w:t>w ewidencji gruntów i budynków Starosty Kłodzkiego sklasyfikowana jako Bz – tereny rekreacyjno–wypoczynkowe, zabudowana budynkiem zaplecza socjalnego dla boiska sportowego w związku z wykonywaniem celów statutowych Biorącego do używania, w szczególności: organizowaniem i propagowaniem sportu wśród dzieci i młodzieży oraz osób pełnoletnich, upowszechnianiem kultury fizycznej, sportu i rekreacji, zapewnieniem młodzieży możliwości udziału w sporcie, prowadzeniem szkoleń sportowych.</w:t>
      </w:r>
    </w:p>
    <w:p>
      <w:pPr>
        <w:pStyle w:val="Normal"/>
        <w:suppressAutoHyphens w:val="true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4.Forma przeznaczenia do użyczenia: </w:t>
      </w:r>
      <w:r>
        <w:rPr>
          <w:color w:val="000000" w:themeColor="text1"/>
          <w:sz w:val="24"/>
          <w:szCs w:val="24"/>
        </w:rPr>
        <w:t>tryb bezprzetargowy.</w:t>
      </w:r>
    </w:p>
    <w:p>
      <w:pPr>
        <w:pStyle w:val="Normal"/>
        <w:suppressAutoHyphens w:val="true"/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5.Termin trwania użyczenia : </w:t>
      </w:r>
      <w:r>
        <w:rPr>
          <w:color w:val="000000" w:themeColor="text1"/>
          <w:sz w:val="24"/>
          <w:szCs w:val="24"/>
        </w:rPr>
        <w:t>na czas oznaczony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od 11 czerwca 2022r. do  11 czerwca 2024 r</w:t>
      </w:r>
    </w:p>
    <w:p>
      <w:pPr>
        <w:pStyle w:val="Normal"/>
        <w:suppressAutoHyphens w:val="true"/>
        <w:spacing w:lineRule="auto" w:line="360" w:before="0" w:after="0"/>
        <w:rPr>
          <w:b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jc w:val="right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>/Z up. Wójta</w:t>
      </w:r>
      <w:r>
        <w:rPr>
          <w:color w:val="FFFFFF" w:themeColor="background1"/>
          <w:sz w:val="24"/>
          <w:szCs w:val="24"/>
        </w:rPr>
        <w:t xml:space="preserve"> </w:t>
      </w:r>
      <w:r>
        <w:rPr>
          <w:sz w:val="24"/>
          <w:szCs w:val="24"/>
        </w:rPr>
        <w:t>Anna Zawiślak</w:t>
      </w:r>
      <w:r>
        <w:rPr>
          <w:color w:val="FFFFFF" w:themeColor="background1"/>
          <w:sz w:val="24"/>
          <w:szCs w:val="24"/>
        </w:rPr>
        <w:t xml:space="preserve"> </w:t>
      </w:r>
      <w:r>
        <w:rPr>
          <w:sz w:val="24"/>
          <w:szCs w:val="24"/>
        </w:rPr>
        <w:t>– Zastępca Wójta/</w:t>
      </w:r>
      <w:r>
        <w:rPr>
          <w:color w:val="FFFFFF" w:themeColor="background1"/>
          <w:sz w:val="24"/>
          <w:szCs w:val="24"/>
        </w:rPr>
        <w:t xml:space="preserve">  </w:t>
      </w:r>
      <w:bookmarkStart w:id="0" w:name="_Hlk104204968"/>
      <w:bookmarkEnd w:id="0"/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Normal"/>
        <w:numPr>
          <w:ilvl w:val="0"/>
          <w:numId w:val="5"/>
        </w:numPr>
        <w:suppressAutoHyphens w:val="true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Jugów – do ogłoszenia na tablicy ogłoszeń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 w:before="0"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2">
        <w:r>
          <w:rPr>
            <w:u w:val="single"/>
          </w:rPr>
          <w:t>www.otoprzetargi.pl</w:t>
        </w:r>
      </w:hyperlink>
    </w:p>
    <w:p>
      <w:pPr>
        <w:pStyle w:val="Normal"/>
        <w:numPr>
          <w:ilvl w:val="0"/>
          <w:numId w:val="2"/>
        </w:numPr>
        <w:suppressAutoHyphens w:val="true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  <w:tab/>
      </w:r>
      <w:bookmarkStart w:id="1" w:name="_Hlk56158633"/>
      <w:bookmarkEnd w:id="1"/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f6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93052f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93052f"/>
    <w:pPr>
      <w:suppressAutoHyphens w:val="true"/>
      <w:spacing w:lineRule="auto" w:line="240" w:before="0" w:after="160"/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LibreOffice/7.1.4.2$Windows_X86_64 LibreOffice_project/a529a4fab45b75fefc5b6226684193eb000654f6</Application>
  <AppVersion>15.0000</AppVersion>
  <Pages>3</Pages>
  <Words>515</Words>
  <Characters>3083</Characters>
  <CharactersWithSpaces>3585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2021-05-07T07:01:00Z</dcterms:created>
  <dc:creator>Ania</dc:creator>
  <dc:description/>
  <dc:language>pl-PL</dc:language>
  <cp:lastModifiedBy>Ania</cp:lastModifiedBy>
  <cp:lastPrinted>2022-05-23T14:26:27Z</cp:lastPrinted>
  <dcterms:modified xsi:type="dcterms:W3CDTF">2022-05-23T11:29:00Z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