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8"/>
          <w:szCs w:val="28"/>
        </w:rPr>
        <w:t>Zarządzenie Nr 68/22</w:t>
        <w:br/>
        <w:t>Wójta Gminy Nowa Ruda</w:t>
        <w:br/>
        <w:t>z dnia  18 luty 2022 roku</w:t>
      </w:r>
    </w:p>
    <w:p>
      <w:pPr>
        <w:pStyle w:val="Tytu"/>
        <w:spacing w:lineRule="auto" w:line="360" w:before="0" w:after="120"/>
        <w:jc w:val="left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zmieniające załącznik do zarządzenia w sprawie korzystania ze świetlic i sal wiejskich na terenie Gminy Nowa Ruda oraz ustalenia opłat za ich wynajem</w:t>
      </w:r>
    </w:p>
    <w:p>
      <w:pPr>
        <w:pStyle w:val="Podtytu"/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Na podstawie art. 30 ust. 2 pkt 3 ustawy z dnia 8 marca 1990 roku o samorządzie gminnym (t.j. Dz. U. z 2021 r. poz. 1372; zm.: Dz. U. z 2021 r. poz. 1834), § 1 uchwały Nr 142/XXIII/12 Rady Gminy Nowa Ruda z dnia 30 marca 2012 roku w sprawie powierzenia Wójtowi Gminy Nowa Ruda uprawnień do określenia wysokości cen i opłat albo o sposobie ustalania cen i opłat za usługi komunalne o charakterze użyteczności publicznej oraz za korzystanie z obiektów i urządzeń użyteczności publicznej Gminy Nowa Ruda, </w:t>
      </w: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Wójt Gminy Nowa Ruda zarządza, co następuje: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bCs/>
          <w:color w:val="000000" w:themeColor="text1"/>
          <w:szCs w:val="20"/>
        </w:rPr>
        <w:t xml:space="preserve">W 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  <w:szCs w:val="20"/>
        </w:rPr>
        <w:t xml:space="preserve">zarządzeniu Nr 595/16 Wójta Gminy Nowa Ruda z dnia 26 września 2016 roku w sprawie korzystania ze świetlic i sal wiejskich na terenie Gminy Nowa Ruda oraz ustalenia opłat za ich wynajem, zmienionym zarządzeniem Nr 607/16 Wójta Gminy Nowa Ruda z 28 września 2016 roku, zarządzeniem Nr 264/17 Wójta Gminy Nowa Ruda z dnia 29 maja 2017 roku, zarządzeniem 771/17 Wójta Gminy Nowa Ruda z dnia 19 grudnia 2017 roku oraz zarządzeniem Nr 199/19 Wójta Gminy Nowa Ruda z dnia 19 kwietnia 2019 roku zmieniającym zarządzenie w sprawie korzystania ze świetlic i sal wiejskich na terenie Gminy Nowa Ruda oraz ustalenia opłat za ich wynajem </w:t>
      </w:r>
      <w:r>
        <w:rPr>
          <w:rFonts w:eastAsia="Times New Roman" w:cs="Calibri" w:ascii="Calibri" w:hAnsi="Calibri" w:asciiTheme="minorHAnsi" w:cstheme="minorHAnsi" w:hAnsiTheme="minorHAnsi"/>
          <w:bCs/>
          <w:color w:val="000000" w:themeColor="text1"/>
        </w:rPr>
        <w:t>wprowadza się następujące zmiany:</w:t>
      </w:r>
    </w:p>
    <w:p>
      <w:pPr>
        <w:pStyle w:val="ListParagraph"/>
        <w:numPr>
          <w:ilvl w:val="3"/>
          <w:numId w:val="2"/>
        </w:numPr>
        <w:spacing w:lineRule="auto" w:line="360" w:before="0" w:after="120"/>
        <w:ind w:left="426" w:hanging="426"/>
        <w:jc w:val="both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Załącznik Nr 3 otrzymuje brzmienie określone w załączniku Nr 1 do niniejszego zarządzenia.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libri" w:hAnsi="Calibri" w:eastAsia="Times New Roman" w:cs="Calibri" w:asciiTheme="minorHAnsi" w:cstheme="minorHAnsi" w:hAnsiTheme="minorHAnsi"/>
          <w:color w:val="000000" w:themeColor="text1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  <w:szCs w:val="20"/>
        </w:rPr>
        <w:t>Pozostałe postanowienia zarządzenia nie ulegają zmianom.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  <w:szCs w:val="20"/>
        </w:rPr>
        <w:t>Wykonanie zarządzenia powierza się kierownikowi Referatu Gospodarki Nieruchomościami i Geodezji.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Zarządzenie wchodzi w życie z dniem wydania.</w:t>
      </w:r>
    </w:p>
    <w:p>
      <w:pPr>
        <w:pStyle w:val="Normal"/>
        <w:tabs>
          <w:tab w:val="clear" w:pos="709"/>
          <w:tab w:val="right" w:pos="9498" w:leader="none"/>
        </w:tabs>
        <w:spacing w:lineRule="auto" w:line="360" w:before="600" w:after="60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/Wójt Gminy Nowa Ruda – Adrianna Mierzejewska/</w:t>
      </w:r>
    </w:p>
    <w:p>
      <w:pPr>
        <w:pStyle w:val="Normal"/>
        <w:tabs>
          <w:tab w:val="clear" w:pos="709"/>
          <w:tab w:val="right" w:pos="9498" w:leader="none"/>
        </w:tabs>
        <w:spacing w:lineRule="auto" w:line="360" w:before="240" w:after="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cstheme="minorHAnsi" w:ascii="Calibri" w:hAnsi="Calibri"/>
          <w:color w:val="000000" w:themeColor="text1"/>
        </w:rPr>
      </w:r>
      <w:r>
        <w:br w:type="page"/>
      </w:r>
    </w:p>
    <w:p>
      <w:pPr>
        <w:pStyle w:val="Normal"/>
        <w:tabs>
          <w:tab w:val="clear" w:pos="709"/>
          <w:tab w:val="right" w:pos="8931" w:leader="none"/>
        </w:tabs>
        <w:spacing w:lineRule="auto" w:line="360" w:before="240" w:after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6"/>
          <w:szCs w:val="26"/>
        </w:rPr>
        <w:t>Załącznik Nr 1 do zarządzenia Nr 68/22 Wójta Gminy Nowa Ruda z dnia 18.02.2022 roku, zmieniający załącznik Nr 3 do zarządzenia Nr 595/16 Wójta Gminy Nowa Ruda z dnia 26 września 2016 roku (z późn. zm.)</w:t>
      </w:r>
    </w:p>
    <w:p>
      <w:pPr>
        <w:pStyle w:val="Normal"/>
        <w:tabs>
          <w:tab w:val="clear" w:pos="709"/>
          <w:tab w:val="right" w:pos="8931" w:leader="none"/>
        </w:tabs>
        <w:spacing w:lineRule="auto" w:line="360" w:before="840" w:after="84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6"/>
          <w:szCs w:val="26"/>
        </w:rPr>
        <w:t>OPŁATY ZA WYNAJEM SAL I ŚWIETLIC WIEJSKICH W GMINIE NOWA RUDA</w:t>
      </w:r>
    </w:p>
    <w:tbl>
      <w:tblPr>
        <w:tblStyle w:val="Tabela-Siatka"/>
        <w:tblW w:w="96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7"/>
        <w:gridCol w:w="2418"/>
        <w:gridCol w:w="2396"/>
        <w:gridCol w:w="2457"/>
      </w:tblGrid>
      <w:tr>
        <w:trPr>
          <w:trHeight w:val="2790" w:hRule="atLeast"/>
        </w:trPr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Opłata za 1 dobę wynajęcia sali lub świetlicy wiejskiej z zapleczem kuchennym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Opłata za 1 dobę wynajęcia sali lub świetlicy wiejskiej bez zaplecza kuchennego</w:t>
            </w:r>
          </w:p>
        </w:tc>
        <w:tc>
          <w:tcPr>
            <w:tcW w:w="23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Opłata za 1 godzinę wynajęcia sali lub świetlicy wiejskiej z zapleczem kuchennym</w:t>
            </w:r>
          </w:p>
        </w:tc>
        <w:tc>
          <w:tcPr>
            <w:tcW w:w="24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Opłata za 1 godzinę wynajęcia sali lub świetlicy wiejskiej bez zaplecza kuchennego</w:t>
            </w:r>
          </w:p>
        </w:tc>
      </w:tr>
      <w:tr>
        <w:trPr>
          <w:trHeight w:val="2790" w:hRule="atLeast"/>
        </w:trPr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420,00 zł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195,00 zł</w:t>
            </w:r>
          </w:p>
        </w:tc>
        <w:tc>
          <w:tcPr>
            <w:tcW w:w="23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70,00 zł</w:t>
            </w:r>
          </w:p>
        </w:tc>
        <w:tc>
          <w:tcPr>
            <w:tcW w:w="24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8931" w:leader="none"/>
              </w:tabs>
              <w:spacing w:lineRule="auto" w:line="360" w:before="24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lang w:val="pl-PL" w:eastAsia="pl-PL" w:bidi="ar-SA"/>
              </w:rPr>
              <w:t>32,50 zł</w:t>
            </w:r>
          </w:p>
        </w:tc>
      </w:tr>
    </w:tbl>
    <w:p>
      <w:pPr>
        <w:pStyle w:val="ListParagraph"/>
        <w:widowControl/>
        <w:numPr>
          <w:ilvl w:val="6"/>
          <w:numId w:val="2"/>
        </w:numPr>
        <w:spacing w:lineRule="auto" w:line="360" w:before="360" w:after="0"/>
        <w:ind w:left="0" w:hanging="0"/>
        <w:contextualSpacing/>
        <w:textAlignment w:val="baseline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Zaplecze kuchenne obejmuje pomieszczenie kuchenne wraz z wyposażeniem (naczynia, garnki, sztućce, sprzęt chłodniczy, sprzęt AGD, piece, kuchenki elektryczne, patelnie elektryczne itp.).</w:t>
      </w:r>
    </w:p>
    <w:p>
      <w:pPr>
        <w:pStyle w:val="ListParagraph"/>
        <w:widowControl/>
        <w:tabs>
          <w:tab w:val="clear" w:pos="709"/>
          <w:tab w:val="right" w:pos="9498" w:leader="none"/>
        </w:tabs>
        <w:spacing w:lineRule="auto" w:line="360" w:before="600" w:after="600"/>
        <w:ind w:left="0" w:hanging="0"/>
        <w:jc w:val="both"/>
        <w:textAlignment w:val="baseline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/Wójt Gminy Nowa Ruda – Adrianna Mierzejewska/</w:t>
      </w:r>
    </w:p>
    <w:sectPr>
      <w:type w:val="nextPage"/>
      <w:pgSz w:w="11906" w:h="16838"/>
      <w:pgMar w:left="1134" w:right="1132" w:header="0" w:top="993" w:footer="0" w:bottom="1135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567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6439b1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616fdc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semiHidden/>
    <w:qFormat/>
    <w:rsid w:val="00f54428"/>
    <w:rPr>
      <w:vertAlign w:val="superscript"/>
    </w:rPr>
  </w:style>
  <w:style w:type="character" w:styleId="Nagwek1Znak" w:customStyle="1">
    <w:name w:val="Nagłówek 1 Znak"/>
    <w:link w:val="Nagwek1"/>
    <w:qFormat/>
    <w:rsid w:val="006439b1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ytuZnak" w:customStyle="1">
    <w:name w:val="Tytuł Znak"/>
    <w:link w:val="Tytu"/>
    <w:qFormat/>
    <w:rsid w:val="006439b1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PodtytuZnak" w:customStyle="1">
    <w:name w:val="Podtytuł Znak"/>
    <w:link w:val="Podtytu"/>
    <w:qFormat/>
    <w:rsid w:val="006439b1"/>
    <w:rPr>
      <w:rFonts w:ascii="Calibri Light" w:hAnsi="Calibri Light" w:eastAsia="Times New Roman" w:cs="Times New Roman"/>
      <w:sz w:val="24"/>
      <w:szCs w:val="24"/>
    </w:rPr>
  </w:style>
  <w:style w:type="character" w:styleId="Nagwek2Znak" w:customStyle="1">
    <w:name w:val="Nagłówek 2 Znak"/>
    <w:basedOn w:val="DefaultParagraphFont"/>
    <w:link w:val="Nagwek2"/>
    <w:semiHidden/>
    <w:qFormat/>
    <w:rsid w:val="00616fd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Przypiskocowy">
    <w:name w:val="Endnote Text"/>
    <w:basedOn w:val="Normal"/>
    <w:semiHidden/>
    <w:rsid w:val="00f54428"/>
    <w:pPr/>
    <w:rPr>
      <w:sz w:val="20"/>
      <w:szCs w:val="20"/>
    </w:rPr>
  </w:style>
  <w:style w:type="paragraph" w:styleId="BalloonText">
    <w:name w:val="Balloon Text"/>
    <w:basedOn w:val="Normal"/>
    <w:semiHidden/>
    <w:qFormat/>
    <w:rsid w:val="006d2c1d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next w:val="Normal"/>
    <w:link w:val="TytuZnak"/>
    <w:qFormat/>
    <w:rsid w:val="006439b1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Podtytu">
    <w:name w:val="Subtitle"/>
    <w:basedOn w:val="Normal"/>
    <w:next w:val="Normal"/>
    <w:link w:val="PodtytuZnak"/>
    <w:qFormat/>
    <w:rsid w:val="006439b1"/>
    <w:pPr>
      <w:spacing w:before="0" w:after="60"/>
      <w:jc w:val="center"/>
      <w:outlineLvl w:val="1"/>
    </w:pPr>
    <w:rPr>
      <w:rFonts w:ascii="Calibri Light" w:hAnsi="Calibri Light" w:eastAsia="Times New Roman"/>
    </w:rPr>
  </w:style>
  <w:style w:type="paragraph" w:styleId="ListParagraph">
    <w:name w:val="List Paragraph"/>
    <w:basedOn w:val="Normal"/>
    <w:qFormat/>
    <w:rsid w:val="003f619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ad25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2</Pages>
  <Words>424</Words>
  <Characters>2221</Characters>
  <CharactersWithSpaces>2623</CharactersWithSpaces>
  <Paragraphs>21</Paragraphs>
  <Company>Urząd Gminy Nowa Ruda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2022-02-21T08:36:00Z</dcterms:created>
  <dc:creator>Preinstalled User</dc:creator>
  <dc:description/>
  <dc:language>pl-PL</dc:language>
  <cp:lastModifiedBy>Dagmara</cp:lastModifiedBy>
  <cp:lastPrinted>2022-02-21T10:21:45Z</cp:lastPrinted>
  <dcterms:modified xsi:type="dcterms:W3CDTF">2022-02-21T08:36:00Z</dcterms:modified>
  <cp:revision>2</cp:revision>
  <dc:subject/>
  <dc:title>ZARZĄDZENIE NR 528/09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