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bookmarkStart w:id="0" w:name="_Hlk58328934"/>
      <w:bookmarkEnd w:id="0"/>
      <w:r>
        <w:rPr>
          <w:b/>
          <w:bCs/>
          <w:color w:val="auto"/>
        </w:rPr>
        <w:t xml:space="preserve">Zarządzenie Wójta Gminy Nowa Ruda nr 266/21 z dnia 6 sierpnia  2021 roku w sprawie sprzedaży w drodze II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 (t.j. Dz. U. z 2021 r. poz. 1372), art. 13 ust. 1, art. 25 ust. 1, art. 37 ust. 1, art. 38 ust. 1 i 2, art. 39 ust.1, art. 40 ust.1 pkt 1 ustawy z dnia 21 sierpnia 1997 r. o gospodarce nieruchomościami (Ustawa z dnia 21 sierpnia 1997 r. o gospodarce nieruchomościami (</w:t>
      </w:r>
      <w:r>
        <w:rPr/>
        <w:t>t.j. Dz. U. z 2020 r. poz. 1990; zm.: Dz. U. z 2019 r. poz. 2020 oraz z 2021 r. poz. 11 i poz. 234.</w:t>
      </w:r>
      <w:r>
        <w:rPr>
          <w:rFonts w:cs="Calibri" w:ascii="Calibri" w:hAnsi="Calibri" w:asciiTheme="minorHAnsi" w:cstheme="minorHAnsi" w:hAnsiTheme="minorHAnsi"/>
        </w:rPr>
        <w:t xml:space="preserve">), Rozdziału 1, Rozdziału II Rozporządzenia Rady Ministrów z dnia 14 września 2004 r. w sprawie sposobu i trybu przeprowadzania przetargów oraz rokowań na zbycie nieruchomości (t.j.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Woliborzu w granicach działki nr 664/4 o powierzchni 0,2470 ha, KW Nr SW1K/00104485/1, będącej własnością Gminy Nowa Ruda w drodze II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2, na tablicy sołectwa Wolibórz oraz publikuje się na stronie internetowej Urzędu Gminy Nowa Ruda oraz w Biuletynie Informacji Publicznej Gminy Nowa Ruda. Informacje o  przetargu podaje się w prasie.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ab/>
      </w:r>
      <w:bookmarkStart w:id="1" w:name="_Hlk51663466"/>
      <w:r>
        <w:rPr>
          <w:rFonts w:cs="Calibri"/>
          <w:color w:val="FFFFFF" w:themeColor="background1"/>
          <w:sz w:val="24"/>
          <w:szCs w:val="24"/>
        </w:rPr>
        <w:t xml:space="preserve">/Adrianna Mierzejewska </w:t>
      </w:r>
      <w:bookmarkEnd w:id="1"/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266/21</w:t>
        <w:br/>
        <w:t>z dnia 6 sierpnia 2021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II przetarg ustny nieograniczony na sprzedaż niżej wymienionych nieruchomości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" w:hAnsi="Calibri" w:cs="Calibri" w:asciiTheme="minorHAnsi" w:cstheme="minorHAnsi" w:hAnsi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nr księgi wieczystej: SW1K/00104485/1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według katastru nieruchomości</w:t>
      </w:r>
      <w:r>
        <w:rPr>
          <w:rFonts w:cs="Calibri" w:cstheme="minorHAnsi"/>
          <w:b/>
          <w:bCs/>
          <w:sz w:val="24"/>
          <w:szCs w:val="24"/>
        </w:rPr>
        <w:t xml:space="preserve">: </w:t>
      </w:r>
      <w:r>
        <w:rPr>
          <w:rFonts w:cs="Calibri" w:cstheme="minorHAnsi"/>
          <w:sz w:val="24"/>
          <w:szCs w:val="24"/>
        </w:rPr>
        <w:t>dz.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>nr 664/4, AM-5, obręb 0016 Wolibórz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Powierzchnia nieruchomości : </w:t>
      </w:r>
      <w:r>
        <w:rPr>
          <w:rFonts w:cs="Calibri" w:cstheme="minorHAnsi"/>
          <w:sz w:val="24"/>
          <w:szCs w:val="24"/>
        </w:rPr>
        <w:t>0,2470 ha.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 xml:space="preserve">Opis nieruchomości, przeznaczenie i sposób zagospodarowania: 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nieruchomość gruntowa  w granicach działki nr 664/4 (RIVb-0,1453 ha, ŁIV-0,0947 ha, W-ŁIV-0,0070 ha) o powierzchni 0,2470 ha, Obręb Wolibórz, położona w sąsiedztwie zabudowy mieszkaniowej jednorodzinnej oraz terenów niezabudowanych, blisko lasu i terenów zielonych z dostępem do drogi lokalnej. Działka niezabudowana o kształcie zbliżonym do trapezu, nachylonym w kierunku północnym. Teren porośnięty trawą i pojedynczymi krzewami.</w:t>
        <w:br/>
        <w:t>Zgodnie ze Studium uwarunkowań i kierunków zagospodarowania przestrzennego Gminy Nowa Ruda działka przeznaczona jest częściowo na tereny z przewagą użytkowania rolniczego, częściowo jako tereny lasów i dolesień oraz obiektów gospodarki leśnej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rFonts w:cs="Calibri" w:cstheme="minorHAnsi"/>
          <w:b/>
          <w:bCs/>
        </w:rPr>
        <w:t xml:space="preserve">Zobowiązania, których przedmiotem jest nieruchomość: </w:t>
      </w:r>
      <w:r>
        <w:rPr>
          <w:rFonts w:cs="Calibri" w:cstheme="minorHAnsi"/>
        </w:rPr>
        <w:t>brak</w:t>
        <w:br/>
      </w:r>
      <w:r>
        <w:rPr>
          <w:rFonts w:cs="Calibri" w:cstheme="minorHAnsi"/>
          <w:b/>
          <w:bCs/>
        </w:rPr>
        <w:t>Cena wywoławcza nieruchomości</w:t>
      </w:r>
      <w:r>
        <w:rPr>
          <w:rFonts w:cs="Calibri" w:cstheme="minorHAnsi"/>
        </w:rPr>
        <w:t>: 61.750,00 zł do ceny wylicytowanej w przetargu doliczony zostanie podatek VAT w wysokości 23%.</w:t>
        <w:br/>
      </w:r>
      <w:r>
        <w:rPr>
          <w:rFonts w:cs="Calibri" w:cstheme="minorHAnsi"/>
          <w:b/>
          <w:bCs/>
        </w:rPr>
        <w:t>Wysokość wadium</w:t>
      </w:r>
      <w:r>
        <w:rPr>
          <w:rFonts w:cs="Calibri" w:cstheme="minorHAnsi"/>
        </w:rPr>
        <w:t>: 12.350,00 zł</w:t>
        <w:br/>
        <w:t>Cena nabycia nie obejmuje okazania granic nieruchomości.</w:t>
        <w:br/>
      </w:r>
      <w:r>
        <w:rPr>
          <w:rFonts w:eastAsia="Times New Roman" w:cs="Calibri" w:cstheme="minorHAnsi"/>
        </w:rPr>
        <w:t>I przetarg ustny nieograniczony na sprzedaż działki nr 664/4 w Woliborzu ogłoszony został na dzień 21.05.2021 r. i zak0ończył się wynikiem negatywnym z uwagi na to, że nikt do niego nie przystąpił.</w:t>
      </w:r>
      <w:r>
        <w:rPr>
          <w:rFonts w:cs="Calibri" w:cstheme="minorHAnsi"/>
        </w:rPr>
        <w:br/>
      </w:r>
      <w:r>
        <w:rPr>
          <w:rFonts w:eastAsia="Times New Roman" w:cs="Calibri" w:cstheme="minorHAnsi"/>
        </w:rPr>
        <w:t xml:space="preserve">II przetarg ustny nieograniczony odbędzie się w dniu </w:t>
      </w:r>
      <w:r>
        <w:rPr>
          <w:rFonts w:eastAsia="Times New Roman" w:cs="Calibri" w:cstheme="minorHAnsi"/>
          <w:b/>
          <w:bCs/>
        </w:rPr>
        <w:t>17.09.2021 r. o godzinie 11.00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rFonts w:eastAsia="Times New Roman" w:cs="Calibri" w:cstheme="minorHAnsi"/>
          <w:b/>
          <w:bCs/>
        </w:rPr>
        <w:t xml:space="preserve"> </w:t>
      </w:r>
      <w:r>
        <w:rPr>
          <w:rFonts w:eastAsia="Times New Roman" w:cs="Calibri" w:cs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13.09.2021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cs="Calibri" w:asciiTheme="minorHAnsi" w:cstheme="minorHAnsi" w:hAnsiTheme="minorHAnsi"/>
          <w:iCs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2020 r. poz. 1990 z późn. zm</w:t>
      </w:r>
      <w:r>
        <w:rPr>
          <w:rFonts w:eastAsia="Times New Roman" w:cs="Calibri" w:ascii="Calibri" w:hAnsi="Calibri" w:asciiTheme="minorHAnsi" w:cstheme="minorHAnsi" w:hAnsiTheme="minorHAnsi"/>
        </w:rPr>
        <w:t xml:space="preserve">) oraz rozporządzenia Rady Ministrów z dnia 14 września 2004 r. w sprawie sposobu i trybu przeprowadzania przetargów oraz rokowań na zbycie nieruchomości (tj. </w:t>
      </w:r>
      <w:r>
        <w:rPr>
          <w:rFonts w:cs="Calibri" w:ascii="Calibri" w:hAnsi="Calibri" w:asciiTheme="minorHAnsi" w:cstheme="minorHAnsi" w:hAnsiTheme="minorHAnsi"/>
        </w:rPr>
        <w:t xml:space="preserve">Dz.U. z 2014 r. poz. 1490 z późn. zm.)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 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>RODO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 w:before="120" w:after="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t>Nowa Ruda, dnia 6 sierpnia 2021 r.</w:t>
      </w:r>
    </w:p>
    <w:p>
      <w:pPr>
        <w:pStyle w:val="Normal"/>
        <w:tabs>
          <w:tab w:val="clear" w:pos="708"/>
          <w:tab w:val="right" w:pos="8931" w:leader="none"/>
        </w:tabs>
        <w:spacing w:lineRule="auto" w:line="360" w:before="240" w:after="0"/>
        <w:ind w:left="2832" w:hanging="0"/>
        <w:rPr>
          <w:rFonts w:cs="Calibri"/>
          <w:color w:val="FFFFFF" w:themeColor="background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ab/>
      </w:r>
      <w:r>
        <w:rPr>
          <w:color w:val="FFFFFF" w:themeColor="background1"/>
          <w:sz w:val="24"/>
          <w:szCs w:val="24"/>
        </w:rPr>
        <w:t>/Adrianna Mierzejewska – Wójt Gminy Nowa Ru</w:t>
      </w:r>
      <w:r>
        <w:rPr>
          <w:color w:val="000000" w:themeColor="text1"/>
        </w:rPr>
        <w:tab/>
        <w:tab/>
      </w:r>
      <w:r>
        <w:rPr>
          <w:rFonts w:cs="Calibri"/>
          <w:color w:val="FFFFFF" w:themeColor="background1"/>
          <w:sz w:val="24"/>
          <w:szCs w:val="24"/>
        </w:rPr>
        <w:t xml:space="preserve">/Adrianna </w:t>
      </w:r>
      <w:r>
        <w:rPr>
          <w:rFonts w:cs="Calibri"/>
          <w:color w:val="000000" w:themeColor="text1"/>
          <w:sz w:val="24"/>
          <w:szCs w:val="24"/>
        </w:rPr>
        <w:t xml:space="preserve">/z up. Wójta Anna Zawiślak Zastępca Wójta/ </w:t>
      </w:r>
      <w:r>
        <w:rPr>
          <w:rFonts w:cs="Calibri"/>
          <w:color w:val="FFFFFF" w:themeColor="background1"/>
          <w:sz w:val="24"/>
          <w:szCs w:val="24"/>
        </w:rPr>
        <w:t xml:space="preserve"> Wójt Gminy Nowa Ruda/</w:t>
      </w:r>
    </w:p>
    <w:p>
      <w:pPr>
        <w:pStyle w:val="Normal"/>
        <w:rPr>
          <w:color w:val="000000" w:themeColor="text1"/>
        </w:rPr>
      </w:pPr>
      <w:r>
        <w:br w:type="column"/>
      </w:r>
      <w:r>
        <w:rPr>
          <w:color w:val="000000" w:themeColor="text1"/>
        </w:rPr>
      </w:r>
      <w:bookmarkStart w:id="2" w:name="_Hlk58328934"/>
      <w:bookmarkStart w:id="3" w:name="_Hlk58328934"/>
      <w:bookmarkEnd w:id="3"/>
    </w:p>
    <w:p>
      <w:pPr>
        <w:pStyle w:val="Normal"/>
        <w:widowControl/>
        <w:suppressAutoHyphens w:val="true"/>
        <w:bidi w:val="0"/>
        <w:spacing w:lineRule="auto" w:line="242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6291"/>
    <w:pPr>
      <w:widowControl/>
      <w:suppressAutoHyphens w:val="true"/>
      <w:bidi w:val="0"/>
      <w:spacing w:lineRule="auto" w:line="242" w:before="0" w:after="160"/>
      <w:jc w:val="left"/>
      <w:textAlignment w:val="baseline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26291"/>
    <w:pPr>
      <w:keepNext w:val="true"/>
      <w:keepLines/>
      <w:spacing w:lineRule="auto" w:line="360" w:before="120" w:after="0"/>
      <w:outlineLvl w:val="0"/>
    </w:pPr>
    <w:rPr>
      <w:rFonts w:ascii="Calibri" w:hAnsi="Calibri" w:eastAsia="Times New Roman" w:cs="Calibri" w:asciiTheme="minorHAnsi" w:cstheme="minorHAnsi" w:hAnsi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f26291"/>
    <w:pPr>
      <w:keepNext w:val="true"/>
      <w:keepLines/>
      <w:spacing w:lineRule="auto" w:line="360" w:before="40" w:after="0"/>
      <w:outlineLvl w:val="1"/>
    </w:pPr>
    <w:rPr>
      <w:rFonts w:ascii="Calibri" w:hAnsi="Calibri" w:eastAsia="Times New Roman" w:cs="Calibri" w:asciiTheme="minorHAnsi" w:cstheme="minorHAnsi" w:hAnsi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26291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f26291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f26291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f26291"/>
    <w:pPr>
      <w:ind w:left="720" w:hanging="0"/>
    </w:pPr>
    <w:rPr/>
  </w:style>
  <w:style w:type="paragraph" w:styleId="Standard" w:customStyle="1">
    <w:name w:val="Standard"/>
    <w:qFormat/>
    <w:rsid w:val="00f26291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f26291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LibreOffice/7.1.4.2$Windows_X86_64 LibreOffice_project/a529a4fab45b75fefc5b6226684193eb000654f6</Application>
  <AppVersion>15.0000</AppVersion>
  <Pages>3</Pages>
  <Words>1230</Words>
  <Characters>7244</Characters>
  <CharactersWithSpaces>8443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2021-07-14T08:07:00Z</dcterms:created>
  <dc:creator>Renata</dc:creator>
  <dc:description/>
  <dc:language>pl-PL</dc:language>
  <cp:lastModifiedBy>Renata</cp:lastModifiedBy>
  <cp:lastPrinted>2021-08-06T06:43:00Z</cp:lastPrinted>
  <dcterms:modified xsi:type="dcterms:W3CDTF">2021-08-06T10:02:00Z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