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rPr>
          <w:rFonts w:ascii="Calibri" w:hAnsi="Calibri" w:cs="Calibri"/>
          <w:b/>
          <w:b/>
          <w:bCs/>
        </w:rPr>
      </w:pPr>
      <w:bookmarkStart w:id="0" w:name="_GoBack"/>
      <w:bookmarkEnd w:id="0"/>
      <w:r>
        <w:rPr>
          <w:rFonts w:cs="Calibri"/>
          <w:b/>
          <w:bCs/>
        </w:rPr>
        <w:t>Zarządzenie nr 116/21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  <w:t>Wójta Gminy Nowa Ruda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rPr>
          <w:rFonts w:ascii="Calibri" w:hAnsi="Calibri" w:cs="Calibri"/>
        </w:rPr>
      </w:pPr>
      <w:r>
        <w:rPr>
          <w:rFonts w:cs="Calibri"/>
          <w:b/>
          <w:bCs/>
        </w:rPr>
        <w:t>z dnia 19 kwietnia 2021 roku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rPr>
          <w:rFonts w:ascii="Calibri" w:hAnsi="Calibri" w:cs="Calibri"/>
        </w:rPr>
      </w:pPr>
      <w:r>
        <w:rPr>
          <w:rFonts w:cs="Calibri"/>
          <w:b/>
          <w:bCs/>
          <w:iCs/>
        </w:rPr>
        <w:t>w sprawie  zmian Wieloletniej Prognozy Finansowej Gminy Nowa Ruda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ascii="Calibri" w:hAnsi="Calibri" w:cs="Calibri"/>
          <w:b/>
          <w:b/>
          <w:bCs/>
          <w:iCs/>
        </w:rPr>
      </w:pPr>
      <w:r>
        <w:rPr>
          <w:rFonts w:cs="Calibri"/>
          <w:i/>
          <w:iCs/>
        </w:rPr>
        <w:t>Na podstawie art. 30 ust. 2 z dnia 8 marca 1990 roku o samorządzie gminnym (t.j</w:t>
      </w:r>
      <w:r>
        <w:rPr>
          <w:rFonts w:cs="Calibri"/>
          <w:iCs/>
        </w:rPr>
        <w:t xml:space="preserve"> Dz. U. z 2020 r. poz. 713, zm.: Dz.U. z 2020 r. poz.1378)  oraz art. 232  ustawy z dnia  27 sierpnia 2009 roku o finansach publicznych (t.j. t.j. </w:t>
      </w:r>
      <w:r>
        <w:rPr>
          <w:rFonts w:cs="Calibri"/>
          <w:color w:val="333333"/>
          <w:shd w:fill="FFFFFF" w:val="clear"/>
        </w:rPr>
        <w:t>Dz. U. z 2021 r. poz. 305</w:t>
      </w:r>
      <w:r>
        <w:rPr>
          <w:rFonts w:cs="Calibri"/>
          <w:iCs/>
        </w:rPr>
        <w:t xml:space="preserve">),w związku z § 4 ust 2 uchwały nr </w:t>
      </w:r>
      <w:r>
        <w:rPr>
          <w:rFonts w:cs="Calibri"/>
        </w:rPr>
        <w:t>210/XXVIII/21 Rady Gminy Nowa Ruda z dnia 27 stycznia 2021 r. w sprawie Wieloletniej Prognozy Finansowej Gminy Nowa Ruda,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  <w:t>Wójt Gminy Nowa Ruda zarządza, co następuje :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ascii="Calibri" w:hAnsi="Calibri" w:cs="Calibri"/>
        </w:rPr>
      </w:pPr>
      <w:r>
        <w:rPr>
          <w:rFonts w:cs="Calibri"/>
          <w:b/>
          <w:bCs/>
        </w:rPr>
        <w:t>§ 1. </w:t>
      </w:r>
      <w:r>
        <w:rPr>
          <w:rFonts w:cs="Calibri"/>
        </w:rPr>
        <w:t>W uchwale Nr 210/XXVIII/21 Rady Gminy Nowa Ruda z dnia 27 stycznia 2021 r. w sprawie Wieloletniej Prognozy Finansowej Gminy Nowa Ruda, zmienionej uchwałą nr 215/XXX/21 z dnia 24 lutego 2021 roku oraz uchwałą nr 223/XXXII/21 z dnia 24 marca 2021 roku, wprowadza się następujące zmiany: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360" w:leader="none"/>
          <w:tab w:val="left" w:pos="720" w:leader="none"/>
          <w:tab w:val="left" w:pos="1080" w:leader="none"/>
          <w:tab w:val="left" w:pos="1776" w:leader="none"/>
          <w:tab w:val="left" w:pos="2484" w:leader="none"/>
          <w:tab w:val="left" w:pos="3192" w:leader="none"/>
          <w:tab w:val="left" w:pos="3900" w:leader="none"/>
          <w:tab w:val="left" w:pos="4608" w:leader="none"/>
          <w:tab w:val="left" w:pos="5316" w:leader="none"/>
          <w:tab w:val="left" w:pos="6024" w:leader="none"/>
          <w:tab w:val="left" w:pos="6732" w:leader="none"/>
          <w:tab w:val="left" w:pos="7440" w:leader="none"/>
          <w:tab w:val="left" w:pos="8148" w:leader="none"/>
          <w:tab w:val="left" w:pos="8856" w:leader="none"/>
        </w:tabs>
        <w:spacing w:lineRule="auto" w:line="360" w:before="0" w:after="200"/>
        <w:ind w:left="714" w:hanging="357"/>
        <w:contextualSpacing/>
        <w:rPr>
          <w:rFonts w:ascii="Calibri" w:hAnsi="Calibri" w:cs="Calibri"/>
        </w:rPr>
      </w:pPr>
      <w:r>
        <w:rPr>
          <w:rFonts w:cs="Calibri"/>
        </w:rPr>
        <w:t>dokonuje się zmian w załączniku Nr 1 – Wieloletnia Prognoza Finansowa Gminy Nowa Ruda  na lata 2021 -2030 zgodnie z załącznikiem nr 1 do zarządzenia;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360" w:leader="none"/>
          <w:tab w:val="left" w:pos="720" w:leader="none"/>
          <w:tab w:val="left" w:pos="1080" w:leader="none"/>
          <w:tab w:val="left" w:pos="1776" w:leader="none"/>
          <w:tab w:val="left" w:pos="2484" w:leader="none"/>
          <w:tab w:val="left" w:pos="3192" w:leader="none"/>
          <w:tab w:val="left" w:pos="3900" w:leader="none"/>
          <w:tab w:val="left" w:pos="4608" w:leader="none"/>
          <w:tab w:val="left" w:pos="5316" w:leader="none"/>
          <w:tab w:val="left" w:pos="6024" w:leader="none"/>
          <w:tab w:val="left" w:pos="6732" w:leader="none"/>
          <w:tab w:val="left" w:pos="7440" w:leader="none"/>
          <w:tab w:val="left" w:pos="8148" w:leader="none"/>
          <w:tab w:val="left" w:pos="8856" w:leader="none"/>
        </w:tabs>
        <w:spacing w:lineRule="auto" w:line="360" w:before="0" w:after="200"/>
        <w:ind w:left="714" w:hanging="357"/>
        <w:contextualSpacing/>
        <w:rPr>
          <w:rFonts w:ascii="Calibri" w:hAnsi="Calibri" w:cs="Calibri"/>
        </w:rPr>
      </w:pPr>
      <w:r>
        <w:rPr>
          <w:rFonts w:cs="Calibri"/>
        </w:rPr>
        <w:t>dokonuje się zmian w załączniku Nr 2 – Przedsięwzięcia Wieloletniej Prognozy Finansowej Gminy Nowa Ruda – zgodnie z załącznikiem nr 2 do zarządzenia.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ascii="Calibri" w:hAnsi="Calibri" w:cs="Calibri"/>
        </w:rPr>
      </w:pPr>
      <w:r>
        <w:rPr>
          <w:rFonts w:cs="Calibri"/>
          <w:b/>
          <w:bCs/>
        </w:rPr>
        <w:t>§ 2.</w:t>
      </w:r>
      <w:r>
        <w:rPr>
          <w:rFonts w:cs="Calibri"/>
        </w:rPr>
        <w:t xml:space="preserve"> Wykonanie zarządzenia powierza się Skarbnikowi Gminy Nowa Ruda.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ascii="Calibri" w:hAnsi="Calibri" w:cs="Calibri"/>
        </w:rPr>
      </w:pPr>
      <w:r>
        <w:rPr>
          <w:rFonts w:cs="Calibri"/>
          <w:b/>
          <w:bCs/>
        </w:rPr>
        <w:t>§ 3.</w:t>
      </w:r>
      <w:r>
        <w:rPr>
          <w:rFonts w:cs="Calibri"/>
        </w:rPr>
        <w:t xml:space="preserve"> Zarządzenie wchodzi w życie z dniem podjęcia.</w:t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before="100" w:after="100"/>
        <w:contextualSpacing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before="100" w:after="100"/>
        <w:contextualSpacing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before="100" w:after="100"/>
        <w:contextualSpacing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before="100" w:after="100"/>
        <w:contextualSpacing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before="100" w:after="100"/>
        <w:contextualSpacing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  <w:t>/Wójt Gminy Nowa Ruda Adrianna Mierzejewska/</w:t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before="100" w:after="100"/>
        <w:contextualSpacing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before="100" w:after="100"/>
        <w:contextualSpacing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before="100" w:after="100"/>
        <w:contextualSpacing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before="100" w:after="100"/>
        <w:contextualSpacing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before="100" w:after="100"/>
        <w:contextualSpacing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before="100" w:after="100"/>
        <w:contextualSpacing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before="100" w:after="100"/>
        <w:contextualSpacing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before="100" w:after="100"/>
        <w:contextualSpacing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  <w:t>UZASADNIENIE</w:t>
      </w:r>
    </w:p>
    <w:p>
      <w:pPr>
        <w:pStyle w:val="ListParagraph"/>
        <w:numPr>
          <w:ilvl w:val="0"/>
          <w:numId w:val="2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ascii="Calibri" w:hAnsi="Calibri" w:cs="Calibri"/>
        </w:rPr>
      </w:pPr>
      <w:r>
        <w:rPr>
          <w:rFonts w:cs="Calibri"/>
        </w:rPr>
        <w:t xml:space="preserve">Na podstawie upoważnienia udzielonego Wójtowi Gminy Nowa w § 4 pkt 2 uchwały nr 210/XXVIII/21 Rady Gminy Nowa Ruda z dnia 27 stycznia 2021 r. w sprawie Wieloletniej Prognozy Finansowej Gminy Nowa Ruda, </w:t>
      </w:r>
      <w:r>
        <w:rPr>
          <w:rFonts w:cs="Calibri"/>
          <w:b/>
        </w:rPr>
        <w:t xml:space="preserve">dokonuje się zmian </w:t>
      </w:r>
      <w:r>
        <w:rPr>
          <w:rFonts w:eastAsia="Times New Roman" w:cs="Calibri"/>
          <w:b/>
          <w:lang w:eastAsia="pl-PL"/>
        </w:rPr>
        <w:t>limitów zobowiązań i kwot wydatków na realizację przedsięwzięcia pod nazwą „Budowa i wyposażenie przedszkola z oddziałami integracyjnymi w Bożkowie”</w:t>
      </w:r>
      <w:r>
        <w:rPr>
          <w:rFonts w:eastAsia="Times New Roman" w:cs="Calibri"/>
          <w:lang w:eastAsia="pl-PL"/>
        </w:rPr>
        <w:t xml:space="preserve"> </w:t>
      </w:r>
      <w:r>
        <w:rPr>
          <w:rFonts w:eastAsia="Times New Roman" w:cs="Calibri"/>
          <w:b/>
          <w:lang w:eastAsia="pl-PL"/>
        </w:rPr>
        <w:t>finansowanego w ramach RPO WD ZIT Aglomeracji Wałbrzyskiej</w:t>
      </w:r>
      <w:r>
        <w:rPr>
          <w:rFonts w:eastAsia="Times New Roman" w:cs="Calibri"/>
          <w:lang w:eastAsia="pl-PL"/>
        </w:rPr>
        <w:t>, dostosowując wartości do kwot wynikających z harmonogramu  realizacji i finansowania zadania.</w:t>
      </w:r>
    </w:p>
    <w:p>
      <w:pPr>
        <w:pStyle w:val="ListParagraph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ascii="Calibri" w:hAnsi="Calibri" w:cs="Calibri"/>
        </w:rPr>
      </w:pPr>
      <w:r>
        <w:rPr>
          <w:rFonts w:eastAsia="Times New Roman" w:cs="Calibri"/>
          <w:lang w:eastAsia="pl-PL"/>
        </w:rPr>
        <w:t>Zmiany nie mają wpływu na wynik budżetu.</w:t>
      </w:r>
    </w:p>
    <w:p>
      <w:pPr>
        <w:pStyle w:val="ListParagraph"/>
        <w:numPr>
          <w:ilvl w:val="0"/>
          <w:numId w:val="2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ascii="Calibri" w:hAnsi="Calibri" w:cs="Calibri"/>
        </w:rPr>
      </w:pPr>
      <w:r>
        <w:rPr>
          <w:rFonts w:cs="Calibri"/>
          <w:b/>
          <w:bCs/>
        </w:rPr>
        <w:t>Dostosowuje się wartości</w:t>
      </w:r>
      <w:r>
        <w:rPr>
          <w:rFonts w:cs="Calibri"/>
        </w:rPr>
        <w:t xml:space="preserve"> ujęte w Wieloletniej Prognozie Finansowej (załącznik nr 1) dla roku 2021 </w:t>
      </w:r>
      <w:r>
        <w:rPr>
          <w:rFonts w:cs="Calibri"/>
          <w:b/>
          <w:bCs/>
        </w:rPr>
        <w:t>do aktualnej korekty budżetu</w:t>
      </w:r>
      <w:r>
        <w:rPr>
          <w:rFonts w:cs="Calibri"/>
        </w:rPr>
        <w:t>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ind w:left="360" w:hanging="0"/>
        <w:contextualSpacing/>
        <w:rPr>
          <w:rFonts w:ascii="Calibri" w:hAnsi="Calibri" w:cs="Calibri"/>
        </w:rPr>
      </w:pPr>
      <w:r>
        <w:rPr>
          <w:rFonts w:cs="Calibri"/>
        </w:rPr>
        <w:t>Zmiany zostały przedstawione w załączniku nr 1 i 2.</w:t>
      </w:r>
    </w:p>
    <w:p>
      <w:pPr>
        <w:pStyle w:val="Normal"/>
        <w:widowControl w:val="false"/>
        <w:spacing w:lineRule="auto" w:line="360" w:before="0" w:after="0"/>
        <w:contextualSpacing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40" w:before="100" w:after="100"/>
        <w:jc w:val="center"/>
        <w:rPr/>
      </w:pPr>
      <w:r>
        <w:rPr/>
      </w:r>
    </w:p>
    <w:sectPr>
      <w:type w:val="nextPage"/>
      <w:pgSz w:w="11906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sz w:val="20"/>
        <w:i w:val="false"/>
        <w:u w:val="none"/>
        <w:b w:val="false"/>
        <w:szCs w:val="20"/>
        <w:iCs w:val="false"/>
        <w:bCs w:val="false"/>
        <w:rFonts w:ascii="Times New Roman" w:hAnsi="Times New Roman"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dstrike w:val="false"/>
        <w:strike w:val="false"/>
        <w:sz w:val="20"/>
        <w:i w:val="false"/>
        <w:u w:val="none"/>
        <w:b w:val="false"/>
        <w:szCs w:val="20"/>
        <w:iCs w:val="false"/>
        <w:bCs w:val="false"/>
        <w:rFonts w:ascii="Times New Roman" w:hAnsi="Times New Roman" w:cs="Times New Roman"/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dstrike w:val="false"/>
        <w:strike w:val="false"/>
        <w:sz w:val="20"/>
        <w:i w:val="false"/>
        <w:u w:val="none"/>
        <w:b w:val="false"/>
        <w:szCs w:val="20"/>
        <w:iCs w:val="false"/>
        <w:bCs w:val="false"/>
        <w:rFonts w:ascii="Times New Roman" w:hAnsi="Times New Roman" w:cs="Times New Roman"/>
        <w:color w:val="auto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  <w:rPr>
        <w:dstrike w:val="false"/>
        <w:strike w:val="false"/>
        <w:sz w:val="20"/>
        <w:i w:val="false"/>
        <w:u w:val="none"/>
        <w:b w:val="false"/>
        <w:szCs w:val="20"/>
        <w:iCs w:val="false"/>
        <w:bCs w:val="false"/>
        <w:rFonts w:ascii="Times New Roman" w:hAnsi="Times New Roman" w:cs="Times New Roman"/>
        <w:color w:val="auto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  <w:rPr>
        <w:dstrike w:val="false"/>
        <w:strike w:val="false"/>
        <w:sz w:val="20"/>
        <w:i w:val="false"/>
        <w:u w:val="none"/>
        <w:b w:val="false"/>
        <w:szCs w:val="20"/>
        <w:iCs w:val="false"/>
        <w:bCs w:val="false"/>
        <w:rFonts w:ascii="Times New Roman" w:hAnsi="Times New Roman" w:cs="Times New Roman"/>
        <w:color w:val="auto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  <w:rPr>
        <w:dstrike w:val="false"/>
        <w:strike w:val="false"/>
        <w:sz w:val="20"/>
        <w:i w:val="false"/>
        <w:u w:val="none"/>
        <w:b w:val="false"/>
        <w:szCs w:val="20"/>
        <w:iCs w:val="false"/>
        <w:bCs w:val="false"/>
        <w:rFonts w:ascii="Times New Roman" w:hAnsi="Times New Roman" w:cs="Times New Roman"/>
        <w:color w:val="auto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  <w:rPr>
        <w:dstrike w:val="false"/>
        <w:strike w:val="false"/>
        <w:sz w:val="20"/>
        <w:i w:val="false"/>
        <w:u w:val="none"/>
        <w:b w:val="false"/>
        <w:szCs w:val="20"/>
        <w:iCs w:val="false"/>
        <w:bCs w:val="false"/>
        <w:rFonts w:ascii="Times New Roman" w:hAnsi="Times New Roman" w:cs="Times New Roman"/>
        <w:color w:val="auto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  <w:rPr>
        <w:dstrike w:val="false"/>
        <w:strike w:val="false"/>
        <w:sz w:val="20"/>
        <w:i w:val="false"/>
        <w:u w:val="none"/>
        <w:b w:val="false"/>
        <w:szCs w:val="20"/>
        <w:iCs w:val="false"/>
        <w:bCs w:val="false"/>
        <w:rFonts w:ascii="Times New Roman" w:hAnsi="Times New Roman" w:cs="Times New Roman"/>
        <w:color w:val="auto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  <w:rPr>
        <w:dstrike w:val="false"/>
        <w:strike w:val="false"/>
        <w:sz w:val="20"/>
        <w:i w:val="false"/>
        <w:u w:val="none"/>
        <w:b w:val="false"/>
        <w:szCs w:val="20"/>
        <w:iCs w:val="false"/>
        <w:bCs w:val="false"/>
        <w:rFonts w:ascii="Times New Roman" w:hAnsi="Times New Roman" w:cs="Times New Roman"/>
        <w:color w:val="auto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669d1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1" w:customStyle="1">
    <w:name w:val="[Normal]"/>
    <w:uiPriority w:val="99"/>
    <w:qFormat/>
    <w:rsid w:val="000e150e"/>
    <w:pPr>
      <w:widowControl w:val="false"/>
      <w:bidi w:val="0"/>
      <w:spacing w:lineRule="auto" w:line="240" w:before="0" w:after="0"/>
      <w:jc w:val="left"/>
    </w:pPr>
    <w:rPr>
      <w:rFonts w:ascii="Arial" w:hAnsi="Arial" w:cs="Arial" w:eastAsia="Calibri" w:eastAsiaTheme="minorHAnsi"/>
      <w:color w:val="auto"/>
      <w:kern w:val="0"/>
      <w:sz w:val="24"/>
      <w:szCs w:val="24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669d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605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LibreOffice/7.0.1.2$Windows_X86_64 LibreOffice_project/7cbcfc562f6eb6708b5ff7d7397325de9e764452</Application>
  <Pages>2</Pages>
  <Words>339</Words>
  <Characters>1770</Characters>
  <CharactersWithSpaces>2097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2021-04-28T07:24:00Z</dcterms:created>
  <dc:creator>Ula</dc:creator>
  <dc:description/>
  <dc:language>pl-PL</dc:language>
  <cp:lastModifiedBy>Ula</cp:lastModifiedBy>
  <cp:lastPrinted>2021-04-28T10:13:03Z</cp:lastPrinted>
  <dcterms:modified xsi:type="dcterms:W3CDTF">2021-04-28T07:24:00Z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