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ZARZĄDZENIE NR 662/20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Wójta Gminy Nowa Ruda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z dnia 29 grudnia 2020 roku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w sprawie zmian w budżecie Gminy Nowa Ruda na rok 2020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/>
        <w:ind w:firstLine="708"/>
        <w:jc w:val="both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i/>
          <w:iCs/>
          <w:sz w:val="16"/>
          <w:szCs w:val="16"/>
        </w:rPr>
        <w:t>Na podstawie art. 30 ust. 2 z dnia 8 marca 1990 roku o samorządzie gminnym (</w:t>
      </w:r>
      <w:r>
        <w:rPr>
          <w:rFonts w:cs="Times New Roman" w:ascii="Times New Roman" w:hAnsi="Times New Roman"/>
          <w:iCs/>
          <w:sz w:val="16"/>
          <w:szCs w:val="16"/>
        </w:rPr>
        <w:t>t.j. Dz. U. z 2020 r. poz. 713</w:t>
      </w:r>
      <w:r>
        <w:rPr>
          <w:rFonts w:cs="Times New Roman" w:ascii="Times New Roman" w:hAnsi="Times New Roman"/>
          <w:i/>
          <w:iCs/>
          <w:sz w:val="16"/>
          <w:szCs w:val="16"/>
        </w:rPr>
        <w:t xml:space="preserve">) oraz art. 222 ust.4, art. 257, art 258 ust. 1 ustawy z dnia  27 sierpnia 2009 roku o finansach publicznych </w:t>
      </w:r>
      <w:r>
        <w:rPr>
          <w:rFonts w:cs="Times New Roman" w:ascii="Times New Roman" w:hAnsi="Times New Roman"/>
          <w:iCs/>
          <w:sz w:val="16"/>
          <w:szCs w:val="16"/>
        </w:rPr>
        <w:t xml:space="preserve">(t.j. </w:t>
      </w:r>
      <w:r>
        <w:rPr>
          <w:rFonts w:cs="Times New Roman" w:ascii="Times New Roman" w:hAnsi="Times New Roman"/>
          <w:color w:val="333333"/>
          <w:sz w:val="16"/>
          <w:szCs w:val="16"/>
          <w:shd w:fill="FFFFFF" w:val="clear"/>
        </w:rPr>
        <w:t>Dz. U. z 2019 r. poz. 869; zm.: Dz. U. z 2018 r. poz. 2245, z 2019 r. poz. 1649 oraz z 2020 r. poz. 284, poz. 374, poz. 568, poz. 695 i poz. 1175</w:t>
      </w:r>
      <w:r>
        <w:rPr>
          <w:rFonts w:cs="Times New Roman" w:ascii="Times New Roman" w:hAnsi="Times New Roman"/>
          <w:iCs/>
          <w:sz w:val="16"/>
          <w:szCs w:val="16"/>
        </w:rPr>
        <w:t>),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1. </w:t>
      </w:r>
      <w:r>
        <w:rPr>
          <w:rFonts w:cs="Times New Roman" w:ascii="Times New Roman" w:hAnsi="Times New Roman"/>
        </w:rPr>
        <w:t>Dokonać zmian w planach dochodów Gminy Nowa Ruda na rok 2020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2. </w:t>
      </w:r>
      <w:r>
        <w:rPr>
          <w:rFonts w:cs="Times New Roman" w:ascii="Times New Roman" w:hAnsi="Times New Roman"/>
        </w:rPr>
        <w:t>Dokonać zmian w planach wydatków Gminy Nowa Ruda na rok 2020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3. </w:t>
      </w:r>
      <w:r>
        <w:rPr>
          <w:rFonts w:cs="Times New Roman" w:ascii="Times New Roman" w:hAnsi="Times New Roman"/>
        </w:rPr>
        <w:t>Dokonać zmian w planach wydatków majątkowych Gminy Nowa Ruda na rok 2020 zgodnie z załącznikiem nr 3 do zarządzenia.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>Plan dochodów po zmianach wynosi –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                    </w:t>
        <w:tab/>
        <w:tab/>
        <w:tab/>
        <w:t xml:space="preserve">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59 170 323,27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19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 xml:space="preserve">Plan wydatków po  zmianach wynosi –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</w:t>
        <w:tab/>
        <w:tab/>
        <w:tab/>
        <w:tab/>
        <w:t xml:space="preserve"> 59 170 323,27 zł</w:t>
      </w:r>
    </w:p>
    <w:p>
      <w:pPr>
        <w:pStyle w:val="Normal"/>
        <w:spacing w:lineRule="auto" w:line="360" w:beforeAutospacing="1" w:after="0"/>
        <w:contextualSpacing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>Plan przychodów wynosi -</w:t>
        <w:tab/>
        <w:tab/>
        <w:tab/>
        <w:t xml:space="preserve">                          </w:t>
        <w:tab/>
        <w:tab/>
        <w:t xml:space="preserve">    </w:t>
      </w:r>
      <w:r>
        <w:rPr>
          <w:rFonts w:cs="Times New Roman" w:ascii="Times New Roman" w:hAnsi="Times New Roman"/>
          <w:b/>
          <w:bCs/>
          <w:sz w:val="28"/>
          <w:szCs w:val="28"/>
          <w:lang w:eastAsia="pl-PL"/>
        </w:rPr>
        <w:t xml:space="preserve">2 626 207,97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</w:rPr>
        <w:t xml:space="preserve">Plan rozchodów wynosi –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  <w:lang w:eastAsia="pl-PL"/>
        </w:rPr>
        <w:t xml:space="preserve">2 626 207,97 </w:t>
      </w:r>
      <w:r>
        <w:rPr>
          <w:rFonts w:cs="Times New Roman" w:ascii="Times New Roman" w:hAnsi="Times New Roman"/>
          <w:b/>
          <w:bCs/>
          <w:sz w:val="28"/>
          <w:szCs w:val="28"/>
        </w:rPr>
        <w:t>zł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4. </w:t>
      </w:r>
      <w:r>
        <w:rPr>
          <w:rFonts w:cs="Times New Roman" w:ascii="Times New Roman" w:hAnsi="Times New Roman"/>
        </w:rPr>
        <w:t>Wykonanie zarządzenia powierza się Skarbnikowi Gminy Nowa Ruda.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 5. </w:t>
      </w:r>
      <w:r>
        <w:rPr>
          <w:rFonts w:cs="Times New Roman" w:ascii="Times New Roman" w:hAnsi="Times New Roman"/>
        </w:rPr>
        <w:t>Zarządzenie wchodzi w życie z dniem podjęcia.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 xml:space="preserve">                                                      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/Adrianna Mierzejewska – Wójt Gminy Nowa Ruda/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UZASADNIENIE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i/>
          <w:i/>
          <w:u w:val="single"/>
        </w:rPr>
      </w:pPr>
      <w:r>
        <w:rPr>
          <w:rFonts w:cs="Calibri"/>
          <w:b/>
          <w:bCs/>
          <w:i/>
          <w:u w:val="single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i/>
          <w:i/>
          <w:u w:val="single"/>
        </w:rPr>
      </w:pPr>
      <w:r>
        <w:rPr>
          <w:rFonts w:cs="Calibri"/>
          <w:b/>
          <w:bCs/>
          <w:i/>
          <w:u w:val="single"/>
        </w:rPr>
        <w:t>Na podstawie art. 257 ustawy o finansach publicznych, dokonuje się zwiększenia  planu dochodów    i wydatków o kwotę 586,30 zł</w:t>
      </w:r>
    </w:p>
    <w:p>
      <w:pPr>
        <w:pStyle w:val="Normal"/>
        <w:rPr>
          <w:b/>
          <w:b/>
        </w:rPr>
      </w:pPr>
      <w:r>
        <w:rPr>
          <w:b/>
          <w:i/>
        </w:rPr>
        <w:t>Dz.851 –Ochrona zdrowia</w:t>
      </w:r>
      <w:r>
        <w:rPr>
          <w:b/>
        </w:rPr>
        <w:t xml:space="preserve"> – zwiększenie planu dochodów i wydatków o kwotę 586,30 zł.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Cs/>
        </w:rPr>
      </w:pPr>
      <w:r>
        <w:rPr>
          <w:rFonts w:cs="Calibri"/>
          <w:bCs/>
        </w:rPr>
        <w:t>Na podstawie pisma Wojewody Dolnośląskiego FB-BP.3111.550.2020.AD z dnia 14 grudnia 2020 roku zwiększa się plan dotacji o kwotę 586,30 zł z przeznaczeniem na zwrot kosztów wydawania decyzji w sprawach świadczeniobiorców innych niż ubezpieczeni, spełniających kryterium dochodowe, o którym mowa w art. 8 ustawy z dnia 12 marca 2004 roku o pomocy społecznej.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</w:rPr>
      </w:pPr>
      <w:r>
        <w:rPr>
          <w:rFonts w:cs="Calibr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na podstawie upoważnienia udzielonego Uchwałą Nr 109/XIII/19 Rady Gminy Nowa Ruda z dnia 30 grudnia 2019 roku w sprawie uchwalenia budżetu Gminy Nowa Ruda na rok 2020.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700 – Gospodarka mieszkaniowa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paragrafu wydatków w ramach modernizacji i remontu lokali i budynków komunalnych.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710 – Działalność usługowa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przeniesienia środków celem zabezpieczenia w budżecie wydatków na usługi geodezyjno-kartograficzne.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750 – Administracja publiczna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korekty klasyfikacji paragrafu w ramach rozliczenia zadań zleconych z zakresu administracji.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zmiany klasyfikacji wydatku w ramach zakupów inwestycyjnych w administracji, zgodnie z załącznikiem nr 3.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752 – Obrona narodowa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korekty klasyfikacji paragrafu w ramach rozliczenia zadań zleconych z zakresu obrony narodowej.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  <w:t>Dz. 801 – Oświata i wychowanie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Dokonuje się przesunięcia środków na wydatki inwestycyjne. 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eastAsia="Times New Roman" w:cs="Calibri" w:cstheme="minorHAnsi"/>
          <w:b/>
          <w:b/>
          <w:i/>
          <w:i/>
          <w:lang w:eastAsia="pl-PL"/>
        </w:rPr>
      </w:pPr>
      <w:r>
        <w:rPr>
          <w:rFonts w:eastAsia="Times New Roman" w:cs="Calibri" w:cstheme="minorHAnsi"/>
          <w:b/>
          <w:i/>
          <w:lang w:eastAsia="pl-PL"/>
        </w:rPr>
        <w:t>Dz. 852 – Pomoc społeczna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 w planach wydatków bieżących Gminnego Ośrodka Pomocy Społecznej zgodnie z wnioskiem kierownika jednostki.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eastAsia="Times New Roman" w:cs="Calibri" w:cstheme="minorHAnsi"/>
          <w:b/>
          <w:b/>
          <w:i/>
          <w:i/>
          <w:lang w:eastAsia="pl-PL"/>
        </w:rPr>
      </w:pPr>
      <w:r>
        <w:rPr>
          <w:rFonts w:eastAsia="Times New Roman" w:cs="Calibri" w:cstheme="minorHAnsi"/>
          <w:b/>
          <w:i/>
          <w:lang w:eastAsia="pl-PL"/>
        </w:rPr>
        <w:t>Dz. 855 - Rodzina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>Dokonuje się zmian w planach wydatków bieżących Gminnego Ośrodka Pomocy Społecznej zgodnie z wnioskiem Kierownika jednostki.</w:t>
      </w:r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cs="Times New Roman"/>
          <w:b/>
          <w:b/>
          <w:bCs/>
          <w:i/>
          <w:i/>
        </w:rPr>
      </w:pPr>
      <w:r>
        <w:rPr>
          <w:rFonts w:cs="Times New Roman"/>
          <w:b/>
          <w:bCs/>
          <w:i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Calibri" w:hAnsi="Calibri" w:cs="Calibri"/>
          <w:bCs/>
        </w:rPr>
      </w:pPr>
      <w:r>
        <w:rPr>
          <w:rFonts w:cs="Calibri"/>
          <w:bCs/>
        </w:rPr>
        <w:t>Wszystkie zmiany zostały zaprezentowane w załączniku nr 1,2 i 3.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Nagwek2Znak">
    <w:name w:val="Nagłówek 2 Znak"/>
    <w:qFormat/>
    <w:rPr>
      <w:rFonts w:ascii="Calibri Light" w:hAnsi="Calibri Light" w:eastAsia="0"/>
      <w:szCs w:val="26"/>
    </w:rPr>
  </w:style>
  <w:style w:type="character" w:styleId="Nagwek1Znak">
    <w:name w:val="Nagłówek 1 Znak"/>
    <w:qFormat/>
    <w:rPr>
      <w:rFonts w:ascii="Calibri Light" w:hAnsi="Calibri Light" w:eastAsia="0"/>
      <w:sz w:val="28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Podstawa">
    <w:name w:val="Podstawa"/>
    <w:basedOn w:val="Nagwek2"/>
    <w:qFormat/>
    <w:pPr>
      <w:keepNext w:val="true"/>
      <w:keepLines/>
    </w:pPr>
    <w:rPr>
      <w:rFonts w:ascii="Calibri Light" w:hAnsi="Calibri Light" w:eastAsia="0"/>
      <w:szCs w:val="2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2823-8C13-43CA-BD32-39A4D0FF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Application>LibreOffice/7.0.1.2$Windows_X86_64 LibreOffice_project/7cbcfc562f6eb6708b5ff7d7397325de9e764452</Application>
  <Pages>2</Pages>
  <Words>503</Words>
  <Characters>2712</Characters>
  <CharactersWithSpaces>3439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dc:description/>
  <dc:language>pl-PL</dc:language>
  <cp:lastModifiedBy/>
  <cp:lastPrinted>2021-03-23T11:18:44Z</cp:lastPrinted>
  <dcterms:modified xsi:type="dcterms:W3CDTF">2021-03-23T11:18:52Z</dcterms:modified>
  <cp:revision>491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