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62/21 z dnia 16 lutego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(t.j. Dz. U. z 2020 r. poz. 713</w:t>
      </w:r>
      <w:r>
        <w:rPr/>
        <w:t xml:space="preserve"> ; zm.: Dz. U. z 2020 r. poz. 1378</w:t>
      </w:r>
      <w:r>
        <w:rPr>
          <w:color w:val="auto"/>
        </w:rPr>
        <w:t>) art. 13 ust. 1, art. 25 ust. 1, art. 35 ust. 1 i 2 ustawy z dnia 21 sierpnia 1997 r. o gospodarce nieruchomościami (</w:t>
      </w:r>
      <w:r>
        <w:rPr/>
        <w:t>t.j. Dz. U. z 2020 r. poz. 1990; zm.: Dz. U. z 2019 r. poz. 2020 oraz z 2021 r. poz. 11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Woliborzu w granicach działki nr 664/4 o powierzchni 0,2470 ha, KW Nr SW1K/00104485/1.</w:t>
      </w:r>
    </w:p>
    <w:p>
      <w:pPr>
        <w:pStyle w:val="ListParagraph"/>
        <w:numPr>
          <w:ilvl w:val="0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Wolibórz,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>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62/21</w:t>
        <w:br/>
        <w:t>z dnia 16 lutego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16.02.2021 r. do dnia 08.03.2021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664/4,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0,2470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664/4 (RIVb-0,1453 ha, ŁIV-0,0947 ha, W-ŁIV-0,0070 ha) o powierzchni 0,2470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częściowo na tereny z przewagą użytkowania rolniczego, częściowo jako tereny lasów i dolesień oraz obiektów gospodarki leśnej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61.750,00 zł 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969" w:leader="none"/>
        </w:tabs>
        <w:spacing w:lineRule="auto" w:line="360" w:before="24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3c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613cb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613cb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613cb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613cb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c613cb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2</Pages>
  <Words>590</Words>
  <Characters>3317</Characters>
  <CharactersWithSpaces>3877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2021-02-11T07:51:00Z</dcterms:created>
  <dc:creator>Renata</dc:creator>
  <dc:description/>
  <dc:language>pl-PL</dc:language>
  <cp:lastModifiedBy>Renata</cp:lastModifiedBy>
  <dcterms:modified xsi:type="dcterms:W3CDTF">2021-02-16T09:53:00Z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