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rPr>
          <w:rFonts w:ascii="Calibri" w:hAnsi="Calibri" w:asciiTheme="minorHAnsi" w:hAnsiTheme="minorHAnsi"/>
          <w:sz w:val="18"/>
          <w:szCs w:val="18"/>
        </w:rPr>
      </w:pPr>
      <w:r>
        <w:rPr>
          <w:rFonts w:ascii="Calibri" w:hAnsi="Calibri" w:asciiTheme="minorHAnsi" w:hAnsiTheme="minorHAnsi"/>
          <w:sz w:val="18"/>
          <w:szCs w:val="18"/>
        </w:rPr>
        <w:t xml:space="preserve">-Projekt 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bookmarkStart w:id="0" w:name="_GoBack"/>
      <w:bookmarkStart w:id="1" w:name="_GoBack"/>
      <w:bookmarkEnd w:id="1"/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>
          <w:rFonts w:ascii="Calibri Light" w:hAnsi="Calibri Light" w:asciiTheme="majorHAnsi" w:hAnsiTheme="majorHAnsi"/>
          <w:sz w:val="32"/>
          <w:szCs w:val="32"/>
        </w:rPr>
      </w:pPr>
      <w:r>
        <w:rPr>
          <w:rFonts w:ascii="Calibri Light" w:hAnsi="Calibri Light" w:asciiTheme="majorHAnsi" w:hAnsiTheme="majorHAnsi"/>
          <w:sz w:val="32"/>
          <w:szCs w:val="32"/>
        </w:rPr>
        <w:t>ROCZNY PROGRAM WSPÓŁPRACY GMINY NOWA RUDA</w:t>
      </w:r>
    </w:p>
    <w:p>
      <w:pPr>
        <w:pStyle w:val="Standard"/>
        <w:rPr>
          <w:rFonts w:ascii="Calibri Light" w:hAnsi="Calibri Light" w:asciiTheme="majorHAnsi" w:hAnsiTheme="majorHAnsi"/>
          <w:sz w:val="32"/>
          <w:szCs w:val="32"/>
        </w:rPr>
      </w:pPr>
      <w:r>
        <w:rPr>
          <w:rFonts w:ascii="Calibri Light" w:hAnsi="Calibri Light" w:asciiTheme="majorHAnsi" w:hAnsiTheme="majorHAnsi"/>
          <w:sz w:val="32"/>
          <w:szCs w:val="32"/>
        </w:rPr>
        <w:t>Z ORGANIZACJAMI POZARZĄDOWYMI ORAZ PODMIOTAMI, O KTÓRYCH MOWA W ART. 3 UST. 3 USTAWY O DZIAŁALNOŚCI POŻYTKU PUBLICZNEGO I O WOLONTARIACIE NA 2021 ROK</w:t>
      </w:r>
    </w:p>
    <w:p>
      <w:pPr>
        <w:pStyle w:val="Standard"/>
        <w:rPr>
          <w:rFonts w:ascii="Calibri Light" w:hAnsi="Calibri Light" w:asciiTheme="majorHAnsi" w:hAnsiTheme="majorHAnsi"/>
          <w:sz w:val="36"/>
          <w:szCs w:val="36"/>
        </w:rPr>
      </w:pPr>
      <w:r>
        <w:rPr>
          <w:rFonts w:asciiTheme="majorHAnsi" w:hAnsiTheme="majorHAnsi" w:ascii="Calibri Light" w:hAnsi="Calibri Light"/>
          <w:sz w:val="36"/>
          <w:szCs w:val="36"/>
        </w:rPr>
      </w:r>
    </w:p>
    <w:p>
      <w:pPr>
        <w:pStyle w:val="Standard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Standard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Standard"/>
        <w:jc w:val="center"/>
        <w:rPr/>
      </w:pPr>
      <w:r>
        <w:rPr/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742440" cy="1837690"/>
            <wp:effectExtent l="0" t="0" r="0" b="0"/>
            <wp:wrapTopAndBottom/>
            <wp:docPr id="1" name="grafik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andard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Standard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Standard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uppressAutoHyphens w:val="false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uppressAutoHyphens w:val="false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uppressAutoHyphens w:val="false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uppressAutoHyphens w:val="false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uppressAutoHyphens w:val="false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uppressAutoHyphens w:val="false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uppressAutoHyphens w:val="false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uppressAutoHyphens w:val="false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uppressAutoHyphens w:val="false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Standard"/>
        <w:rPr>
          <w:rFonts w:eastAsia="Times New Roman" w:cs="Times New Roman"/>
        </w:rPr>
      </w:pPr>
      <w:r>
        <w:rPr>
          <w:rFonts w:eastAsia="Times New Roman" w:cs="Times New Roman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>
              <w:rFonts w:ascii="Times New Roman" w:hAnsi="Times New Roman" w:cs="Times New Roman"/>
            </w:rPr>
          </w:pPr>
          <w:r>
            <w:rPr>
              <w:rFonts w:cs="Times New Roman" w:ascii="Times New Roman" w:hAnsi="Times New Roman"/>
            </w:rPr>
            <w:t>Spis treści</w:t>
          </w:r>
        </w:p>
        <w:p>
          <w:pPr>
            <w:pStyle w:val="Normal"/>
            <w:rPr>
              <w:sz w:val="22"/>
              <w:szCs w:val="22"/>
              <w:lang w:eastAsia="pl-PL" w:bidi="ar-SA"/>
            </w:rPr>
          </w:pPr>
          <w:r>
            <w:rPr>
              <w:sz w:val="22"/>
              <w:szCs w:val="22"/>
              <w:lang w:eastAsia="pl-PL" w:bidi="ar-SA"/>
            </w:rPr>
          </w:r>
        </w:p>
        <w:p>
          <w:pPr>
            <w:pStyle w:val="Spistreci1"/>
            <w:tabs>
              <w:tab w:val="clear" w:pos="708"/>
              <w:tab w:val="right" w:pos="9062" w:leader="dot"/>
            </w:tabs>
            <w:spacing w:before="0" w:after="120"/>
            <w:rPr>
              <w:rFonts w:ascii="Calibri" w:hAnsi="Calibri" w:eastAsia="" w:cs="" w:asciiTheme="minorHAnsi" w:cstheme="minorBidi" w:eastAsiaTheme="minorEastAsia" w:hAnsiTheme="minorHAnsi"/>
              <w:kern w:val="0"/>
              <w:sz w:val="22"/>
              <w:szCs w:val="22"/>
              <w:lang w:eastAsia="pl-PL" w:bidi="ar-SA"/>
            </w:rPr>
          </w:pPr>
          <w:r>
            <w:fldChar w:fldCharType="begin"/>
          </w:r>
          <w:r>
            <w:rPr>
              <w:webHidden/>
              <w:rStyle w:val="Czeindeksu"/>
              <w:sz w:val="22"/>
              <w:szCs w:val="22"/>
              <w:bCs/>
              <w:rFonts w:eastAsia="Times New Roman" w:cs="Times New Roman"/>
            </w:rPr>
            <w:instrText> TOC \z \o "1-3" \u \h</w:instrText>
          </w:r>
          <w:r>
            <w:rPr>
              <w:webHidden/>
              <w:rStyle w:val="Czeindeksu"/>
              <w:sz w:val="22"/>
              <w:szCs w:val="22"/>
              <w:bCs/>
              <w:rFonts w:eastAsia="Times New Roman" w:cs="Times New Roman"/>
            </w:rPr>
            <w:fldChar w:fldCharType="separate"/>
          </w:r>
          <w:hyperlink w:anchor="_Toc464376124">
            <w:r>
              <w:rPr>
                <w:webHidden/>
                <w:rStyle w:val="Czeindeksu"/>
                <w:rFonts w:eastAsia="Times New Roman" w:cs="Times New Roman"/>
                <w:bCs/>
                <w:sz w:val="22"/>
                <w:szCs w:val="22"/>
              </w:rPr>
              <w:t>I. INFORMACJE OGÓLNE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_Toc464376124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  <w:vanish w:val="false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tabs>
              <w:tab w:val="clear" w:pos="708"/>
              <w:tab w:val="right" w:pos="9062" w:leader="dot"/>
            </w:tabs>
            <w:spacing w:before="0" w:after="120"/>
            <w:rPr>
              <w:rFonts w:ascii="Calibri" w:hAnsi="Calibri" w:eastAsia="" w:cs="" w:asciiTheme="minorHAnsi" w:cstheme="minorBidi" w:eastAsiaTheme="minorEastAsia" w:hAnsiTheme="minorHAnsi"/>
              <w:kern w:val="0"/>
              <w:sz w:val="22"/>
              <w:szCs w:val="22"/>
              <w:lang w:eastAsia="pl-PL" w:bidi="ar-SA"/>
            </w:rPr>
          </w:pPr>
          <w:hyperlink w:anchor="_Toc464376125">
            <w:r>
              <w:rPr>
                <w:webHidden/>
                <w:rStyle w:val="Czeindeksu"/>
                <w:rFonts w:eastAsia="Times New Roman" w:cs="Times New Roman"/>
                <w:bCs/>
                <w:sz w:val="22"/>
                <w:szCs w:val="22"/>
              </w:rPr>
              <w:t>II. CEL GŁÓWNY I CELE SZCZEGÓŁOWE PROGRAMU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_Toc464376125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  <w:vanish w:val="false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tabs>
              <w:tab w:val="clear" w:pos="708"/>
              <w:tab w:val="right" w:pos="9062" w:leader="dot"/>
            </w:tabs>
            <w:spacing w:before="0" w:after="120"/>
            <w:rPr>
              <w:rFonts w:ascii="Calibri" w:hAnsi="Calibri" w:eastAsia="" w:cs="" w:asciiTheme="minorHAnsi" w:cstheme="minorBidi" w:eastAsiaTheme="minorEastAsia" w:hAnsiTheme="minorHAnsi"/>
              <w:kern w:val="0"/>
              <w:sz w:val="22"/>
              <w:szCs w:val="22"/>
              <w:lang w:eastAsia="pl-PL" w:bidi="ar-SA"/>
            </w:rPr>
          </w:pPr>
          <w:hyperlink w:anchor="_Toc464376126">
            <w:r>
              <w:rPr>
                <w:webHidden/>
                <w:rStyle w:val="Czeindeksu"/>
                <w:rFonts w:eastAsia="Times New Roman" w:cs="Times New Roman"/>
                <w:bCs/>
                <w:sz w:val="22"/>
                <w:szCs w:val="22"/>
              </w:rPr>
              <w:t>III. ZASADY WSPÓŁPRACY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_Toc464376126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  <w:vanish w:val="false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tabs>
              <w:tab w:val="clear" w:pos="708"/>
              <w:tab w:val="right" w:pos="9062" w:leader="dot"/>
            </w:tabs>
            <w:spacing w:before="0" w:after="120"/>
            <w:rPr>
              <w:rFonts w:ascii="Calibri" w:hAnsi="Calibri" w:eastAsia="" w:cs="" w:asciiTheme="minorHAnsi" w:cstheme="minorBidi" w:eastAsiaTheme="minorEastAsia" w:hAnsiTheme="minorHAnsi"/>
              <w:kern w:val="0"/>
              <w:sz w:val="22"/>
              <w:szCs w:val="22"/>
              <w:lang w:eastAsia="pl-PL" w:bidi="ar-SA"/>
            </w:rPr>
          </w:pPr>
          <w:hyperlink w:anchor="_Toc464376127">
            <w:r>
              <w:rPr>
                <w:webHidden/>
                <w:rStyle w:val="Czeindeksu"/>
                <w:rFonts w:eastAsia="Times New Roman" w:cs="Times New Roman"/>
                <w:bCs/>
                <w:sz w:val="22"/>
                <w:szCs w:val="22"/>
              </w:rPr>
              <w:t>IV. ZAKRES PRZEDMIOTOWY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_Toc464376127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  <w:vanish w:val="false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tabs>
              <w:tab w:val="clear" w:pos="708"/>
              <w:tab w:val="right" w:pos="9062" w:leader="dot"/>
            </w:tabs>
            <w:spacing w:before="0" w:after="120"/>
            <w:rPr>
              <w:rFonts w:ascii="Calibri" w:hAnsi="Calibri" w:eastAsia="" w:cs="" w:asciiTheme="minorHAnsi" w:cstheme="minorBidi" w:eastAsiaTheme="minorEastAsia" w:hAnsiTheme="minorHAnsi"/>
              <w:kern w:val="0"/>
              <w:sz w:val="22"/>
              <w:szCs w:val="22"/>
              <w:lang w:eastAsia="pl-PL" w:bidi="ar-SA"/>
            </w:rPr>
          </w:pPr>
          <w:hyperlink w:anchor="_Toc464376128">
            <w:r>
              <w:rPr>
                <w:webHidden/>
                <w:rStyle w:val="Czeindeksu"/>
                <w:rFonts w:eastAsia="Times New Roman" w:cs="Times New Roman"/>
                <w:bCs/>
                <w:sz w:val="22"/>
                <w:szCs w:val="22"/>
              </w:rPr>
              <w:t>V. FORMY WSPÓŁPRACY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_Toc464376128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  <w:vanish w:val="false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tabs>
              <w:tab w:val="clear" w:pos="708"/>
              <w:tab w:val="right" w:pos="9062" w:leader="dot"/>
            </w:tabs>
            <w:spacing w:before="0" w:after="120"/>
            <w:rPr>
              <w:rFonts w:ascii="Calibri" w:hAnsi="Calibri" w:eastAsia="" w:cs="" w:asciiTheme="minorHAnsi" w:cstheme="minorBidi" w:eastAsiaTheme="minorEastAsia" w:hAnsiTheme="minorHAnsi"/>
              <w:kern w:val="0"/>
              <w:sz w:val="22"/>
              <w:szCs w:val="22"/>
              <w:lang w:eastAsia="pl-PL" w:bidi="ar-SA"/>
            </w:rPr>
          </w:pPr>
          <w:hyperlink w:anchor="_Toc464376129">
            <w:r>
              <w:rPr>
                <w:webHidden/>
                <w:rStyle w:val="Czeindeksu"/>
                <w:rFonts w:eastAsia="Times New Roman" w:cs="Times New Roman"/>
                <w:bCs/>
                <w:sz w:val="22"/>
                <w:szCs w:val="22"/>
              </w:rPr>
              <w:t>VI. ZADANIA PRIORYTETOWE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_Toc464376129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  <w:vanish w:val="false"/>
                <w:sz w:val="22"/>
                <w:szCs w:val="22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tabs>
              <w:tab w:val="clear" w:pos="708"/>
              <w:tab w:val="right" w:pos="9062" w:leader="dot"/>
            </w:tabs>
            <w:spacing w:before="0" w:after="120"/>
            <w:rPr>
              <w:rFonts w:ascii="Calibri" w:hAnsi="Calibri" w:eastAsia="" w:cs="" w:asciiTheme="minorHAnsi" w:cstheme="minorBidi" w:eastAsiaTheme="minorEastAsia" w:hAnsiTheme="minorHAnsi"/>
              <w:kern w:val="0"/>
              <w:sz w:val="22"/>
              <w:szCs w:val="22"/>
              <w:lang w:eastAsia="pl-PL" w:bidi="ar-SA"/>
            </w:rPr>
          </w:pPr>
          <w:hyperlink w:anchor="_Toc464376130">
            <w:r>
              <w:rPr>
                <w:webHidden/>
                <w:rStyle w:val="Czeindeksu"/>
                <w:rFonts w:eastAsia="Times New Roman" w:cs="Times New Roman"/>
                <w:bCs/>
                <w:sz w:val="22"/>
                <w:szCs w:val="22"/>
              </w:rPr>
              <w:t>VII. OKRES REALIZACJI PROGRAMU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_Toc464376130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  <w:vanish w:val="false"/>
                <w:sz w:val="22"/>
                <w:szCs w:val="22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tabs>
              <w:tab w:val="clear" w:pos="708"/>
              <w:tab w:val="right" w:pos="9062" w:leader="dot"/>
            </w:tabs>
            <w:spacing w:before="0" w:after="120"/>
            <w:rPr>
              <w:rFonts w:ascii="Calibri" w:hAnsi="Calibri" w:eastAsia="" w:cs="" w:asciiTheme="minorHAnsi" w:cstheme="minorBidi" w:eastAsiaTheme="minorEastAsia" w:hAnsiTheme="minorHAnsi"/>
              <w:kern w:val="0"/>
              <w:sz w:val="22"/>
              <w:szCs w:val="22"/>
              <w:lang w:eastAsia="pl-PL" w:bidi="ar-SA"/>
            </w:rPr>
          </w:pPr>
          <w:hyperlink w:anchor="_Toc464376131">
            <w:r>
              <w:rPr>
                <w:webHidden/>
                <w:rStyle w:val="Czeindeksu"/>
                <w:rFonts w:eastAsia="Times New Roman" w:cs="Times New Roman"/>
                <w:bCs/>
                <w:sz w:val="22"/>
                <w:szCs w:val="22"/>
              </w:rPr>
              <w:t>VIII. SPOSÓB REALIZACJI PROGRAMU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_Toc464376131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  <w:vanish w:val="false"/>
                <w:sz w:val="22"/>
                <w:szCs w:val="22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tabs>
              <w:tab w:val="clear" w:pos="708"/>
              <w:tab w:val="right" w:pos="9062" w:leader="dot"/>
            </w:tabs>
            <w:spacing w:before="0" w:after="120"/>
            <w:rPr>
              <w:rFonts w:ascii="Calibri" w:hAnsi="Calibri" w:eastAsia="" w:cs="" w:asciiTheme="minorHAnsi" w:cstheme="minorBidi" w:eastAsiaTheme="minorEastAsia" w:hAnsiTheme="minorHAnsi"/>
              <w:kern w:val="0"/>
              <w:sz w:val="22"/>
              <w:szCs w:val="22"/>
              <w:lang w:eastAsia="pl-PL" w:bidi="ar-SA"/>
            </w:rPr>
          </w:pPr>
          <w:hyperlink w:anchor="_Toc464376132">
            <w:r>
              <w:rPr>
                <w:webHidden/>
                <w:rStyle w:val="Czeindeksu"/>
                <w:rFonts w:eastAsia="Times New Roman" w:cs="Times New Roman"/>
                <w:bCs/>
                <w:sz w:val="22"/>
                <w:szCs w:val="22"/>
              </w:rPr>
              <w:t>IX. WYSOKO</w:t>
            </w:r>
            <w:r>
              <w:rPr>
                <w:rStyle w:val="Czeindeksu"/>
                <w:rFonts w:eastAsia="TimesNewRoman,Bold" w:cs="Times New Roman"/>
                <w:bCs/>
                <w:sz w:val="22"/>
                <w:szCs w:val="22"/>
              </w:rPr>
              <w:t>ŚĆ Ś</w:t>
            </w:r>
            <w:r>
              <w:rPr>
                <w:rStyle w:val="Czeindeksu"/>
                <w:rFonts w:eastAsia="Times New Roman" w:cs="Times New Roman"/>
                <w:bCs/>
                <w:sz w:val="22"/>
                <w:szCs w:val="22"/>
              </w:rPr>
              <w:t>RODKÓW PRZEZNACZONYCH NA REALIZACJ</w:t>
            </w:r>
            <w:r>
              <w:rPr>
                <w:rStyle w:val="Czeindeksu"/>
                <w:rFonts w:eastAsia="TimesNewRoman,Bold" w:cs="Times New Roman"/>
                <w:bCs/>
                <w:sz w:val="22"/>
                <w:szCs w:val="22"/>
              </w:rPr>
              <w:t xml:space="preserve">Ę </w:t>
            </w:r>
            <w:r>
              <w:rPr>
                <w:rStyle w:val="Czeindeksu"/>
                <w:rFonts w:eastAsia="Times New Roman" w:cs="Times New Roman"/>
                <w:bCs/>
                <w:sz w:val="22"/>
                <w:szCs w:val="22"/>
              </w:rPr>
              <w:t>PROGRAMU…………...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_Toc464376132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  <w:vanish w:val="false"/>
                <w:sz w:val="22"/>
                <w:szCs w:val="22"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tabs>
              <w:tab w:val="clear" w:pos="708"/>
              <w:tab w:val="right" w:pos="9062" w:leader="dot"/>
            </w:tabs>
            <w:spacing w:before="0" w:after="120"/>
            <w:rPr>
              <w:rFonts w:ascii="Calibri" w:hAnsi="Calibri" w:eastAsia="" w:cs="" w:asciiTheme="minorHAnsi" w:cstheme="minorBidi" w:eastAsiaTheme="minorEastAsia" w:hAnsiTheme="minorHAnsi"/>
              <w:kern w:val="0"/>
              <w:sz w:val="22"/>
              <w:szCs w:val="22"/>
              <w:lang w:eastAsia="pl-PL" w:bidi="ar-SA"/>
            </w:rPr>
          </w:pPr>
          <w:hyperlink w:anchor="_Toc464376133">
            <w:r>
              <w:rPr>
                <w:webHidden/>
                <w:rStyle w:val="Czeindeksu"/>
                <w:rFonts w:eastAsia="Times New Roman" w:cs="Times New Roman"/>
                <w:bCs/>
                <w:sz w:val="22"/>
                <w:szCs w:val="22"/>
              </w:rPr>
              <w:t>X. SPOSÓB OCENY REALIZACJI PROGRAMU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_Toc464376133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  <w:vanish w:val="false"/>
                <w:sz w:val="22"/>
                <w:szCs w:val="22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tabs>
              <w:tab w:val="clear" w:pos="708"/>
              <w:tab w:val="right" w:pos="9062" w:leader="dot"/>
            </w:tabs>
            <w:spacing w:before="0" w:after="120"/>
            <w:rPr>
              <w:rFonts w:ascii="Calibri" w:hAnsi="Calibri" w:eastAsia="" w:cs="" w:asciiTheme="minorHAnsi" w:cstheme="minorBidi" w:eastAsiaTheme="minorEastAsia" w:hAnsiTheme="minorHAnsi"/>
              <w:kern w:val="0"/>
              <w:sz w:val="22"/>
              <w:szCs w:val="22"/>
              <w:lang w:eastAsia="pl-PL" w:bidi="ar-SA"/>
            </w:rPr>
          </w:pPr>
          <w:hyperlink w:anchor="_Toc464376134">
            <w:r>
              <w:rPr>
                <w:webHidden/>
                <w:rStyle w:val="Czeindeksu"/>
                <w:rFonts w:eastAsia="Times New Roman" w:cs="Times New Roman"/>
                <w:bCs/>
                <w:sz w:val="22"/>
                <w:szCs w:val="22"/>
              </w:rPr>
              <w:t>XI. INFORMACJA O SPOSOBIE TWORZENIA PROGRAMU ORAZ O PRZEBIEGU KONSULTACJI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_Toc464376134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  <w:vanish w:val="false"/>
                <w:sz w:val="22"/>
                <w:szCs w:val="22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tabs>
              <w:tab w:val="clear" w:pos="708"/>
              <w:tab w:val="right" w:pos="9062" w:leader="dot"/>
            </w:tabs>
            <w:spacing w:before="0" w:after="120"/>
            <w:rPr>
              <w:rFonts w:ascii="Calibri" w:hAnsi="Calibri" w:eastAsia="" w:cs="" w:asciiTheme="minorHAnsi" w:cstheme="minorBidi" w:eastAsiaTheme="minorEastAsia" w:hAnsiTheme="minorHAnsi"/>
              <w:kern w:val="0"/>
              <w:sz w:val="22"/>
              <w:szCs w:val="22"/>
              <w:lang w:eastAsia="pl-PL" w:bidi="ar-SA"/>
            </w:rPr>
          </w:pPr>
          <w:hyperlink w:anchor="_Toc464376135">
            <w:r>
              <w:rPr>
                <w:webHidden/>
                <w:rStyle w:val="Czeindeksu"/>
                <w:rFonts w:eastAsia="Times New Roman" w:cs="Times New Roman"/>
                <w:bCs/>
                <w:sz w:val="22"/>
                <w:szCs w:val="22"/>
              </w:rPr>
              <w:t>XII. TRYB POWOŁANIA I ZASADY DZIAŁANIA KOMISJI KONKURSOWYCH DO OPINIOWANIA OFERT W OTWARTYCH KONKURSACH OFERT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_Toc464376135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  <w:vanish w:val="false"/>
                <w:sz w:val="22"/>
                <w:szCs w:val="22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Spistreci1"/>
            <w:tabs>
              <w:tab w:val="clear" w:pos="708"/>
              <w:tab w:val="right" w:pos="9062" w:leader="dot"/>
            </w:tabs>
            <w:spacing w:before="0" w:after="120"/>
            <w:rPr>
              <w:rFonts w:ascii="Calibri" w:hAnsi="Calibri" w:eastAsia="" w:cs="" w:asciiTheme="minorHAnsi" w:cstheme="minorBidi" w:eastAsiaTheme="minorEastAsia" w:hAnsiTheme="minorHAnsi"/>
              <w:kern w:val="0"/>
              <w:sz w:val="22"/>
              <w:szCs w:val="22"/>
              <w:lang w:eastAsia="pl-PL" w:bidi="ar-SA"/>
            </w:rPr>
          </w:pPr>
          <w:hyperlink w:anchor="_Toc464376136">
            <w:r>
              <w:rPr>
                <w:webHidden/>
                <w:rStyle w:val="Czeindeksu"/>
                <w:rFonts w:eastAsia="Times New Roman" w:cs="Times New Roman"/>
                <w:bCs/>
                <w:sz w:val="22"/>
                <w:szCs w:val="22"/>
              </w:rPr>
              <w:t>XIII. POSTANOWIENIA KO</w:t>
            </w:r>
            <w:r>
              <w:rPr>
                <w:rStyle w:val="Czeindeksu"/>
                <w:rFonts w:eastAsia="TimesNewRoman,Bold" w:cs="Times New Roman"/>
                <w:bCs/>
                <w:sz w:val="22"/>
                <w:szCs w:val="22"/>
              </w:rPr>
              <w:t>Ń</w:t>
            </w:r>
            <w:r>
              <w:rPr>
                <w:rStyle w:val="Czeindeksu"/>
                <w:rFonts w:eastAsia="Times New Roman" w:cs="Times New Roman"/>
                <w:bCs/>
                <w:sz w:val="22"/>
                <w:szCs w:val="22"/>
              </w:rPr>
              <w:t>COWE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_Toc464376136 \h</w:instrText>
            </w:r>
            <w:r>
              <w:rPr>
                <w:webHidden/>
              </w:rPr>
              <w:fldChar w:fldCharType="separate"/>
            </w:r>
            <w:r>
              <w:rPr>
                <w:rStyle w:val="Czeindeksu"/>
                <w:vanish w:val="false"/>
                <w:sz w:val="22"/>
                <w:szCs w:val="22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spacing w:before="0" w:after="120"/>
            <w:rPr/>
          </w:pPr>
          <w:r>
            <w:rPr/>
          </w:r>
          <w:r>
            <w:rPr/>
            <w:fldChar w:fldCharType="end"/>
          </w:r>
        </w:p>
      </w:sdtContent>
    </w:sdt>
    <w:p>
      <w:pPr>
        <w:pStyle w:val="Standard"/>
        <w:rPr>
          <w:rFonts w:eastAsia="Times New Roman" w:cs="Times New Roman"/>
        </w:rPr>
      </w:pPr>
      <w:r>
        <w:rPr>
          <w:rFonts w:eastAsia="Times New Roman" w:cs="Times New Roman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Standard"/>
        <w:rPr>
          <w:rFonts w:eastAsia="Times New Roman" w:cs="Times New Roman"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</w:r>
    </w:p>
    <w:p>
      <w:pPr>
        <w:pStyle w:val="Nagwek1"/>
        <w:spacing w:lineRule="auto" w:line="360"/>
        <w:jc w:val="both"/>
        <w:rPr>
          <w:rFonts w:ascii="Calibri" w:hAnsi="Calibri" w:eastAsia="Times New Roman" w:cs="Times New Roman" w:asciiTheme="minorHAnsi" w:hAnsiTheme="minorHAnsi"/>
          <w:bCs/>
          <w:sz w:val="28"/>
          <w:szCs w:val="28"/>
        </w:rPr>
      </w:pPr>
      <w:bookmarkStart w:id="2" w:name="_Toc464376124"/>
      <w:r>
        <w:rPr>
          <w:rFonts w:eastAsia="Times New Roman" w:cs="Times New Roman" w:ascii="Calibri" w:hAnsi="Calibri" w:asciiTheme="minorHAnsi" w:hAnsiTheme="minorHAnsi"/>
          <w:bCs/>
          <w:sz w:val="28"/>
          <w:szCs w:val="28"/>
        </w:rPr>
        <w:t>I. INFORMACJE OGÓLNE</w:t>
      </w:r>
      <w:bookmarkEnd w:id="2"/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-BoldMT" w:cs="Times New Roman" w:ascii="Calibri" w:hAnsi="Calibri" w:asciiTheme="minorHAnsi" w:hAnsiTheme="minorHAnsi"/>
          <w:bCs/>
        </w:rPr>
        <w:t xml:space="preserve">§1. </w:t>
      </w:r>
      <w:r>
        <w:rPr>
          <w:rFonts w:eastAsia="TimesNewRomanPSMT" w:cs="Times New Roman" w:ascii="Calibri" w:hAnsi="Calibri" w:asciiTheme="minorHAnsi" w:hAnsiTheme="minorHAnsi"/>
          <w:bCs/>
        </w:rPr>
        <w:t>Ilekroć w Programie Współpracy Gminy Nowa Ruda z organizacjami pozarządowymi na rok 2021, zwanym dalej Programem jest mowa o: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 xml:space="preserve">1) </w:t>
      </w:r>
      <w:r>
        <w:rPr>
          <w:rFonts w:eastAsia="TimesNewRomanPS-BoldMT" w:cs="Times New Roman" w:ascii="Calibri" w:hAnsi="Calibri" w:asciiTheme="minorHAnsi" w:hAnsiTheme="minorHAnsi"/>
          <w:bCs/>
        </w:rPr>
        <w:t xml:space="preserve">ustawie </w:t>
      </w:r>
      <w:r>
        <w:rPr>
          <w:rFonts w:eastAsia="TimesNewRomanPSMT" w:cs="Times New Roman" w:ascii="Calibri" w:hAnsi="Calibri" w:asciiTheme="minorHAnsi" w:hAnsiTheme="minorHAnsi"/>
        </w:rPr>
        <w:t>– należy przez to rozumieć ustawę z dnia 24 kwietnia 2003 r. o działalności pożytku publicznego i o wolontariacie (</w:t>
      </w:r>
      <w:r>
        <w:rPr>
          <w:rFonts w:ascii="Calibri" w:hAnsi="Calibri" w:asciiTheme="minorHAnsi" w:hAnsiTheme="minorHAnsi"/>
        </w:rPr>
        <w:t>Dz. U. z 2020 r. poz. 1057</w:t>
      </w:r>
      <w:r>
        <w:rPr>
          <w:rFonts w:eastAsia="TimesNewRomanPSMT" w:cs="Times New Roman" w:ascii="Calibri" w:hAnsi="Calibri" w:asciiTheme="minorHAnsi" w:hAnsiTheme="minorHAnsi"/>
        </w:rPr>
        <w:t>),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 xml:space="preserve">2) </w:t>
      </w:r>
      <w:r>
        <w:rPr>
          <w:rFonts w:eastAsia="TimesNewRomanPS-BoldMT" w:cs="Times New Roman" w:ascii="Calibri" w:hAnsi="Calibri" w:asciiTheme="minorHAnsi" w:hAnsiTheme="minorHAnsi"/>
          <w:bCs/>
        </w:rPr>
        <w:t xml:space="preserve">programie </w:t>
      </w:r>
      <w:r>
        <w:rPr>
          <w:rFonts w:eastAsia="TimesNewRomanPSMT" w:cs="Times New Roman" w:ascii="Calibri" w:hAnsi="Calibri" w:asciiTheme="minorHAnsi" w:hAnsiTheme="minorHAnsi"/>
        </w:rPr>
        <w:t xml:space="preserve">– należy przez to rozumieć Roczny Program Współpracy Gminy Nowa Ruda z organizacjami pozarządowymi </w:t>
      </w:r>
      <w:bookmarkStart w:id="3" w:name="_Hlk54272256"/>
      <w:r>
        <w:rPr>
          <w:rFonts w:eastAsia="TimesNewRomanPSMT" w:cs="Times New Roman" w:ascii="Calibri" w:hAnsi="Calibri" w:asciiTheme="minorHAnsi" w:hAnsiTheme="minorHAnsi"/>
        </w:rPr>
        <w:t xml:space="preserve">oraz podmiotami prowadzącymi działalność pożytku publicznego </w:t>
      </w:r>
      <w:bookmarkEnd w:id="3"/>
      <w:r>
        <w:rPr>
          <w:rFonts w:eastAsia="TimesNewRomanPSMT" w:cs="Times New Roman" w:ascii="Calibri" w:hAnsi="Calibri" w:asciiTheme="minorHAnsi" w:hAnsiTheme="minorHAnsi"/>
        </w:rPr>
        <w:t>na 2021 rok,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 xml:space="preserve">3) </w:t>
      </w:r>
      <w:r>
        <w:rPr>
          <w:rFonts w:eastAsia="TimesNewRomanPS-BoldMT" w:cs="Times New Roman" w:ascii="Calibri" w:hAnsi="Calibri" w:asciiTheme="minorHAnsi" w:hAnsiTheme="minorHAnsi"/>
          <w:bCs/>
        </w:rPr>
        <w:t xml:space="preserve">organizacji </w:t>
      </w:r>
      <w:r>
        <w:rPr>
          <w:rFonts w:eastAsia="TimesNewRomanPSMT" w:cs="Times New Roman" w:ascii="Calibri" w:hAnsi="Calibri" w:asciiTheme="minorHAnsi" w:hAnsiTheme="minorHAnsi"/>
        </w:rPr>
        <w:t>– rozumie się przez to organizacje pozarządową o której mowa art. 3 ust. 2 ustawy</w:t>
      </w:r>
      <w:r>
        <w:rPr>
          <w:rFonts w:eastAsia="TimesNewRomanPS-BoldMT" w:cs="Times New Roman" w:ascii="Calibri" w:hAnsi="Calibri" w:asciiTheme="minorHAnsi" w:hAnsiTheme="minorHAnsi"/>
        </w:rPr>
        <w:t xml:space="preserve"> </w:t>
      </w:r>
      <w:r>
        <w:rPr>
          <w:rFonts w:eastAsia="TimesNewRomanPSMT" w:cs="Times New Roman" w:ascii="Calibri" w:hAnsi="Calibri" w:asciiTheme="minorHAnsi" w:hAnsiTheme="minorHAnsi"/>
        </w:rPr>
        <w:t>oraz inne podmioty, o których mowa art.3 ust.3 ustawy;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 xml:space="preserve">4) </w:t>
      </w:r>
      <w:r>
        <w:rPr>
          <w:rFonts w:eastAsia="TimesNewRomanPS-BoldMT" w:cs="Times New Roman" w:ascii="Calibri" w:hAnsi="Calibri" w:asciiTheme="minorHAnsi" w:hAnsiTheme="minorHAnsi"/>
          <w:bCs/>
        </w:rPr>
        <w:t xml:space="preserve">Gminie </w:t>
      </w:r>
      <w:r>
        <w:rPr>
          <w:rFonts w:eastAsia="TimesNewRomanPSMT" w:cs="Times New Roman" w:ascii="Calibri" w:hAnsi="Calibri" w:asciiTheme="minorHAnsi" w:hAnsiTheme="minorHAnsi"/>
        </w:rPr>
        <w:t>– rozumie się przez to Gminę Nowa Ruda,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 xml:space="preserve">5) </w:t>
      </w:r>
      <w:r>
        <w:rPr>
          <w:rFonts w:eastAsia="TimesNewRomanPS-BoldMT" w:cs="Times New Roman" w:ascii="Calibri" w:hAnsi="Calibri" w:asciiTheme="minorHAnsi" w:hAnsiTheme="minorHAnsi"/>
          <w:bCs/>
        </w:rPr>
        <w:t xml:space="preserve">dotacji </w:t>
      </w:r>
      <w:r>
        <w:rPr>
          <w:rFonts w:eastAsia="TimesNewRomanPSMT" w:cs="Times New Roman" w:ascii="Calibri" w:hAnsi="Calibri" w:asciiTheme="minorHAnsi" w:hAnsiTheme="minorHAnsi"/>
        </w:rPr>
        <w:t>– rozumie się przez to dotację w rozumieniu art. 2 pkt. 1 ustawy z dnia 24 kwietnia 2003</w:t>
      </w:r>
      <w:r>
        <w:rPr>
          <w:rFonts w:eastAsia="TimesNewRomanPS-BoldMT" w:cs="Times New Roman" w:ascii="Calibri" w:hAnsi="Calibri" w:asciiTheme="minorHAnsi" w:hAnsiTheme="minorHAnsi"/>
        </w:rPr>
        <w:t xml:space="preserve"> </w:t>
      </w:r>
      <w:r>
        <w:rPr>
          <w:rFonts w:eastAsia="TimesNewRomanPSMT" w:cs="Times New Roman" w:ascii="Calibri" w:hAnsi="Calibri" w:asciiTheme="minorHAnsi" w:hAnsiTheme="minorHAnsi"/>
        </w:rPr>
        <w:t>r. o działalności pożytku publicznego i o wolontariacie (</w:t>
      </w:r>
      <w:r>
        <w:rPr>
          <w:rFonts w:ascii="Calibri" w:hAnsi="Calibri" w:asciiTheme="minorHAnsi" w:hAnsiTheme="minorHAnsi"/>
        </w:rPr>
        <w:t>Dz. U. z 2020 r. poz. 1057</w:t>
      </w:r>
      <w:r>
        <w:rPr>
          <w:rFonts w:eastAsia="TimesNewRomanPSMT" w:cs="Times New Roman" w:ascii="Calibri" w:hAnsi="Calibri" w:asciiTheme="minorHAnsi" w:hAnsiTheme="minorHAnsi"/>
        </w:rPr>
        <w:t>).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-BoldMT" w:cs="Times New Roman" w:ascii="Calibri" w:hAnsi="Calibri" w:asciiTheme="minorHAnsi" w:hAnsiTheme="minorHAnsi"/>
          <w:bCs/>
        </w:rPr>
        <w:t xml:space="preserve">§ 2. </w:t>
      </w:r>
      <w:r>
        <w:rPr>
          <w:rFonts w:eastAsia="TimesNewRomanPSMT" w:cs="Times New Roman" w:ascii="Calibri" w:hAnsi="Calibri" w:asciiTheme="minorHAnsi" w:hAnsiTheme="minorHAnsi"/>
        </w:rPr>
        <w:t>Program określa w szczególności cele, zasady, formy, priorytetowe obszary współpracy, wysokość środków finansowych przeznaczonych na jego realizację, a także</w:t>
      </w:r>
      <w:r>
        <w:rPr>
          <w:rFonts w:eastAsia="TimesNewRomanPS-BoldMT" w:cs="Times New Roman" w:ascii="Calibri" w:hAnsi="Calibri" w:asciiTheme="minorHAnsi" w:hAnsiTheme="minorHAnsi"/>
        </w:rPr>
        <w:t xml:space="preserve"> </w:t>
      </w:r>
      <w:r>
        <w:rPr>
          <w:rFonts w:eastAsia="TimesNewRomanPSMT" w:cs="Times New Roman" w:ascii="Calibri" w:hAnsi="Calibri" w:asciiTheme="minorHAnsi" w:hAnsiTheme="minorHAnsi"/>
        </w:rPr>
        <w:t>sposoby oceny jego wykonania.</w:t>
      </w:r>
    </w:p>
    <w:p>
      <w:pPr>
        <w:pStyle w:val="Nagwek1"/>
        <w:spacing w:lineRule="auto" w:line="360"/>
        <w:rPr>
          <w:rFonts w:ascii="Calibri" w:hAnsi="Calibri" w:cs="Times New Roman" w:asciiTheme="minorHAnsi" w:hAnsiTheme="minorHAnsi"/>
          <w:sz w:val="24"/>
          <w:szCs w:val="24"/>
        </w:rPr>
      </w:pPr>
      <w:bookmarkStart w:id="4" w:name="_Toc464376125"/>
      <w:r>
        <w:rPr>
          <w:rFonts w:eastAsia="Times New Roman" w:cs="Times New Roman" w:ascii="Calibri" w:hAnsi="Calibri" w:asciiTheme="minorHAnsi" w:hAnsiTheme="minorHAnsi"/>
          <w:bCs/>
          <w:sz w:val="24"/>
          <w:szCs w:val="24"/>
        </w:rPr>
        <w:t>II. CEL GŁÓWNY I CELE SZCZEGÓŁOWE PROGRAMU</w:t>
      </w:r>
      <w:bookmarkEnd w:id="4"/>
    </w:p>
    <w:p>
      <w:pPr>
        <w:pStyle w:val="Standard"/>
        <w:spacing w:lineRule="auto" w:line="360"/>
        <w:rPr>
          <w:rFonts w:ascii="Calibri" w:hAnsi="Calibri" w:asciiTheme="minorHAnsi" w:hAnsiTheme="minorHAnsi"/>
        </w:rPr>
      </w:pPr>
      <w:r>
        <w:rPr>
          <w:rFonts w:eastAsia="TimesNewRomanPS-BoldMT" w:cs="Times New Roman" w:ascii="Calibri" w:hAnsi="Calibri" w:asciiTheme="minorHAnsi" w:hAnsiTheme="minorHAnsi"/>
          <w:bCs/>
        </w:rPr>
        <w:t xml:space="preserve">§ 3. </w:t>
      </w:r>
      <w:r>
        <w:rPr>
          <w:rFonts w:eastAsia="TimesNewRomanPSMT" w:cs="TimesNewRomanPSMT" w:ascii="Calibri" w:hAnsi="Calibri" w:asciiTheme="minorHAnsi" w:hAnsiTheme="minorHAnsi"/>
        </w:rPr>
        <w:t>Głównym celem Programu jest podejmowanie działań na rzecz lokalnej społeczności poprzez</w:t>
      </w:r>
      <w:r>
        <w:rPr>
          <w:rFonts w:eastAsia="TimesNewRomanPS-BoldMT" w:cs="TimesNewRomanPS-BoldMT" w:ascii="Calibri" w:hAnsi="Calibri" w:asciiTheme="minorHAnsi" w:hAnsiTheme="minorHAnsi"/>
        </w:rPr>
        <w:t xml:space="preserve"> </w:t>
      </w:r>
      <w:r>
        <w:rPr>
          <w:rFonts w:eastAsia="TimesNewRomanPSMT" w:cs="TimesNewRomanPSMT" w:ascii="Calibri" w:hAnsi="Calibri" w:asciiTheme="minorHAnsi" w:hAnsiTheme="minorHAnsi"/>
        </w:rPr>
        <w:t>rozwijanie współpracy samorządu gminnego z organizacjami pozarządowymi na rzecz poprawy</w:t>
      </w:r>
      <w:r>
        <w:rPr>
          <w:rFonts w:eastAsia="TimesNewRomanPS-BoldMT" w:cs="TimesNewRomanPS-BoldMT" w:ascii="Calibri" w:hAnsi="Calibri" w:asciiTheme="minorHAnsi" w:hAnsiTheme="minorHAnsi"/>
        </w:rPr>
        <w:t xml:space="preserve"> </w:t>
      </w:r>
      <w:r>
        <w:rPr>
          <w:rFonts w:eastAsia="TimesNewRomanPSMT" w:cs="TimesNewRomanPSMT" w:ascii="Calibri" w:hAnsi="Calibri" w:asciiTheme="minorHAnsi" w:hAnsiTheme="minorHAnsi"/>
        </w:rPr>
        <w:t>jakości życia mieszkańców gminy. Społeczna aktywność lokalnych inicjatyw obywatelskich</w:t>
      </w:r>
      <w:r>
        <w:rPr>
          <w:rFonts w:eastAsia="TimesNewRomanPS-BoldMT" w:cs="TimesNewRomanPS-BoldMT" w:ascii="Calibri" w:hAnsi="Calibri" w:asciiTheme="minorHAnsi" w:hAnsiTheme="minorHAnsi"/>
        </w:rPr>
        <w:t xml:space="preserve"> </w:t>
      </w:r>
      <w:r>
        <w:rPr>
          <w:rFonts w:eastAsia="TimesNewRomanPSMT" w:cs="TimesNewRomanPSMT" w:ascii="Calibri" w:hAnsi="Calibri" w:asciiTheme="minorHAnsi" w:hAnsiTheme="minorHAnsi"/>
        </w:rPr>
        <w:t>przyczyni się do pełniejszego zaspokajania potrzeb wspólnoty, a także sprzyjać będzie tworzeniu</w:t>
      </w:r>
      <w:r>
        <w:rPr>
          <w:rFonts w:eastAsia="TimesNewRomanPS-BoldMT" w:cs="TimesNewRomanPS-BoldMT" w:ascii="Calibri" w:hAnsi="Calibri" w:asciiTheme="minorHAnsi" w:hAnsiTheme="minorHAnsi"/>
        </w:rPr>
        <w:t xml:space="preserve"> </w:t>
      </w:r>
      <w:r>
        <w:rPr>
          <w:rFonts w:eastAsia="TimesNewRomanPSMT" w:cs="TimesNewRomanPSMT" w:ascii="Calibri" w:hAnsi="Calibri" w:asciiTheme="minorHAnsi" w:hAnsiTheme="minorHAnsi"/>
        </w:rPr>
        <w:t>więzi społecznych.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-BoldMT" w:cs="Times New Roman" w:ascii="Calibri" w:hAnsi="Calibri" w:asciiTheme="minorHAnsi" w:hAnsiTheme="minorHAnsi"/>
          <w:bCs/>
        </w:rPr>
        <w:t xml:space="preserve">§ 4. </w:t>
      </w:r>
      <w:r>
        <w:rPr>
          <w:rFonts w:eastAsia="TimesNewRomanPSMT" w:cs="Times New Roman" w:ascii="Calibri" w:hAnsi="Calibri" w:asciiTheme="minorHAnsi" w:hAnsiTheme="minorHAnsi"/>
        </w:rPr>
        <w:t>Cele szczegółowe Programu: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1) tworzenie sprzyjających warunków</w:t>
      </w:r>
      <w:r>
        <w:rPr>
          <w:rFonts w:eastAsia="TimesNewRomanPSMT" w:cs="Times New Roman" w:ascii="Calibri" w:hAnsi="Calibri" w:asciiTheme="minorHAnsi" w:hAnsiTheme="minorHAnsi"/>
        </w:rPr>
        <w:t xml:space="preserve"> do wzmocnienia potencjału działających i powstawania podmiotów Programu na terenie Gminy, oraz promowanie najlepszych organizacji pozarządowych Gminy,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 xml:space="preserve">2) </w:t>
      </w:r>
      <w:r>
        <w:rPr>
          <w:rFonts w:eastAsia="TimesNewRomanPSMT" w:cs="Times New Roman" w:ascii="Calibri" w:hAnsi="Calibri" w:asciiTheme="minorHAnsi" w:hAnsiTheme="minorHAnsi"/>
        </w:rPr>
        <w:t>poprawienie jakości życia mieszkańców Gminy, poprzez pełniejsze zaspakajanie potrzeb społecznych</w:t>
      </w:r>
      <w:r>
        <w:rPr>
          <w:rFonts w:eastAsia="TimesNewRomanPSMT" w:cs="Times New Roman" w:ascii="Calibri" w:hAnsi="Calibri" w:asciiTheme="minorHAnsi" w:hAnsiTheme="minorHAnsi"/>
          <w:strike/>
        </w:rPr>
        <w:t>,</w:t>
      </w:r>
      <w:r>
        <w:rPr>
          <w:rFonts w:eastAsia="TimesNewRomanPSMT" w:cs="Times New Roman" w:ascii="Calibri" w:hAnsi="Calibri" w:asciiTheme="minorHAnsi" w:hAnsiTheme="minorHAnsi"/>
        </w:rPr>
        <w:t xml:space="preserve"> oraz zwiększenie efektywności wykorzystania środków publicznych,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3)</w:t>
      </w:r>
      <w:r>
        <w:rPr>
          <w:rFonts w:eastAsia="TimesNewRomanPSMT" w:cs="Times New Roman" w:ascii="Calibri" w:hAnsi="Calibri" w:asciiTheme="minorHAnsi" w:hAnsiTheme="minorHAnsi"/>
        </w:rPr>
        <w:t xml:space="preserve"> kształtowanie społeczeństwa obywatelskiego poprzez tworzenie sprzyjających warunków dla powstania inicjatyw lokalnych, w tym kreowanie i wdrażanie innowacyjnych rozwiązań służących rozwijaniu społeczeństwa obywatelskiego,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4)</w:t>
      </w:r>
      <w:r>
        <w:rPr>
          <w:rFonts w:eastAsia="TimesNewRomanPSMT" w:cs="Times New Roman" w:ascii="Calibri" w:hAnsi="Calibri" w:asciiTheme="minorHAnsi" w:hAnsiTheme="minorHAnsi"/>
        </w:rPr>
        <w:t xml:space="preserve"> umacnianie w świadomości społecznej poczucia odpowiedzialności za siebie, swoje otoczenie i lokalną wspólnotę, promocję postaw obywatelskich,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>5) wykorzystanie potencjału osób zagrożonych wykluczeniem społecznym,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>6) wsparcie dla seniorów zagrożonych wykluczeniem społecznym,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7)</w:t>
      </w:r>
      <w:r>
        <w:rPr>
          <w:rFonts w:eastAsia="TimesNewRomanPSMT" w:cs="Times New Roman" w:ascii="Calibri" w:hAnsi="Calibri" w:asciiTheme="minorHAnsi" w:hAnsiTheme="minorHAnsi"/>
        </w:rPr>
        <w:t xml:space="preserve"> udzielanie pomocy w pozyskiwaniu środków pochodzących z Unii Europejskiej lub innych źródeł zewnętrznych na realizację zadań własnych Gminy,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 xml:space="preserve">8) </w:t>
      </w:r>
      <w:r>
        <w:rPr>
          <w:rFonts w:cs="Times New Roman" w:ascii="Calibri" w:hAnsi="Calibri" w:asciiTheme="minorHAnsi" w:hAnsiTheme="minorHAnsi"/>
        </w:rPr>
        <w:t>Promocja i rozwój działań na rzecz realizacji zadań publicznych w formule partnerskiej.</w:t>
      </w:r>
    </w:p>
    <w:p>
      <w:pPr>
        <w:pStyle w:val="Nagwek1"/>
        <w:spacing w:lineRule="auto" w:line="360"/>
        <w:rPr>
          <w:rFonts w:ascii="Calibri" w:hAnsi="Calibri" w:cs="Times New Roman" w:asciiTheme="minorHAnsi" w:hAnsiTheme="minorHAnsi"/>
          <w:sz w:val="24"/>
          <w:szCs w:val="24"/>
        </w:rPr>
      </w:pPr>
      <w:bookmarkStart w:id="5" w:name="_Toc464376126"/>
      <w:r>
        <w:rPr>
          <w:rFonts w:eastAsia="Times New Roman" w:cs="Times New Roman" w:ascii="Calibri" w:hAnsi="Calibri" w:asciiTheme="minorHAnsi" w:hAnsiTheme="minorHAnsi"/>
          <w:bCs/>
          <w:sz w:val="24"/>
          <w:szCs w:val="24"/>
        </w:rPr>
        <w:t>III. ZASADY WSPÓŁPRACY</w:t>
      </w:r>
      <w:bookmarkEnd w:id="5"/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-BoldMT" w:cs="Times New Roman" w:ascii="Calibri" w:hAnsi="Calibri" w:asciiTheme="minorHAnsi" w:hAnsiTheme="minorHAnsi"/>
          <w:bCs/>
        </w:rPr>
        <w:t xml:space="preserve">§ 5. </w:t>
      </w:r>
      <w:r>
        <w:rPr>
          <w:rFonts w:eastAsia="Times New Roman" w:cs="Times New Roman" w:ascii="Calibri" w:hAnsi="Calibri" w:asciiTheme="minorHAnsi" w:hAnsiTheme="minorHAnsi"/>
        </w:rPr>
        <w:t>Współpraca z organizacjami pozarz</w:t>
      </w:r>
      <w:r>
        <w:rPr>
          <w:rFonts w:eastAsia="TimesNewRoman" w:cs="Times New Roman" w:ascii="Calibri" w:hAnsi="Calibri" w:asciiTheme="minorHAnsi" w:hAnsiTheme="minorHAnsi"/>
        </w:rPr>
        <w:t>ą</w:t>
      </w:r>
      <w:r>
        <w:rPr>
          <w:rFonts w:eastAsia="Times New Roman" w:cs="Times New Roman" w:ascii="Calibri" w:hAnsi="Calibri" w:asciiTheme="minorHAnsi" w:hAnsiTheme="minorHAnsi"/>
        </w:rPr>
        <w:t>dowymi w Gminie Nowa Ruda odbywa si</w:t>
      </w:r>
      <w:r>
        <w:rPr>
          <w:rFonts w:eastAsia="TimesNewRoman" w:cs="Times New Roman" w:ascii="Calibri" w:hAnsi="Calibri" w:asciiTheme="minorHAnsi" w:hAnsiTheme="minorHAnsi"/>
        </w:rPr>
        <w:t xml:space="preserve">ę </w:t>
      </w:r>
      <w:r>
        <w:rPr>
          <w:rFonts w:eastAsia="Times New Roman" w:cs="Times New Roman" w:ascii="Calibri" w:hAnsi="Calibri" w:asciiTheme="minorHAnsi" w:hAnsiTheme="minorHAnsi"/>
        </w:rPr>
        <w:t>w oparciu o nast</w:t>
      </w:r>
      <w:r>
        <w:rPr>
          <w:rFonts w:eastAsia="TimesNewRoman" w:cs="Times New Roman" w:ascii="Calibri" w:hAnsi="Calibri" w:asciiTheme="minorHAnsi" w:hAnsiTheme="minorHAnsi"/>
        </w:rPr>
        <w:t>ę</w:t>
      </w:r>
      <w:r>
        <w:rPr>
          <w:rFonts w:eastAsia="Times New Roman" w:cs="Times New Roman" w:ascii="Calibri" w:hAnsi="Calibri" w:asciiTheme="minorHAnsi" w:hAnsiTheme="minorHAnsi"/>
        </w:rPr>
        <w:t>puj</w:t>
      </w:r>
      <w:r>
        <w:rPr>
          <w:rFonts w:eastAsia="TimesNewRoman" w:cs="Times New Roman" w:ascii="Calibri" w:hAnsi="Calibri" w:asciiTheme="minorHAnsi" w:hAnsiTheme="minorHAnsi"/>
        </w:rPr>
        <w:t>ą</w:t>
      </w:r>
      <w:r>
        <w:rPr>
          <w:rFonts w:eastAsia="Times New Roman" w:cs="Times New Roman" w:ascii="Calibri" w:hAnsi="Calibri" w:asciiTheme="minorHAnsi" w:hAnsiTheme="minorHAnsi"/>
        </w:rPr>
        <w:t>ce zasady: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1)</w:t>
      </w:r>
      <w:r>
        <w:rPr>
          <w:rFonts w:eastAsia="TimesNewRomanPSMT" w:cs="Times New Roman" w:ascii="Calibri" w:hAnsi="Calibri" w:asciiTheme="minorHAnsi" w:hAnsiTheme="minorHAnsi"/>
        </w:rPr>
        <w:t xml:space="preserve"> </w:t>
      </w:r>
      <w:r>
        <w:rPr>
          <w:rFonts w:eastAsia="TimesNewRomanPSMT" w:cs="Times New Roman" w:ascii="Calibri" w:hAnsi="Calibri" w:asciiTheme="minorHAnsi" w:hAnsiTheme="minorHAnsi"/>
          <w:bCs/>
        </w:rPr>
        <w:t xml:space="preserve">pomocniczości, </w:t>
      </w:r>
      <w:r>
        <w:rPr>
          <w:rFonts w:eastAsia="TimesNewRomanPSMT" w:cs="Times New Roman" w:ascii="Calibri" w:hAnsi="Calibri" w:asciiTheme="minorHAnsi" w:hAnsiTheme="minorHAnsi"/>
        </w:rPr>
        <w:t>to jest zasadzie wskazującej podział zadań realizowanych przez sektor publiczny i obywatelski w zakresie umacniania</w:t>
      </w:r>
      <w:r>
        <w:rPr>
          <w:rFonts w:eastAsia="TimesNewRomanPSMT" w:cs="Times New Roman" w:ascii="Calibri" w:hAnsi="Calibri" w:asciiTheme="minorHAnsi" w:hAnsiTheme="minorHAnsi"/>
          <w:color w:val="FF0000"/>
        </w:rPr>
        <w:t xml:space="preserve"> </w:t>
      </w:r>
      <w:r>
        <w:rPr>
          <w:rFonts w:eastAsia="TimesNewRomanPSMT" w:cs="Times New Roman" w:ascii="Calibri" w:hAnsi="Calibri" w:asciiTheme="minorHAnsi" w:hAnsiTheme="minorHAnsi"/>
        </w:rPr>
        <w:t>roli obywateli i organizacji przy jednoczesnym ograniczaniu interwencjonizmu państwa i administracji lokalnej,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2) suwerenności stron,</w:t>
      </w:r>
      <w:r>
        <w:rPr>
          <w:rFonts w:eastAsia="TimesNewRomanPSMT" w:cs="Times New Roman" w:ascii="Calibri" w:hAnsi="Calibri" w:asciiTheme="minorHAnsi" w:hAnsiTheme="minorHAnsi"/>
        </w:rPr>
        <w:t xml:space="preserve"> oznaczającej poszanowanie autonomii organizacji pozarządowych oraz nie ingerowanie w ich sprawy wewnętrzne,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3) partnerstwa,</w:t>
      </w:r>
      <w:r>
        <w:rPr>
          <w:rFonts w:eastAsia="TimesNewRomanPSMT" w:cs="Times New Roman" w:ascii="Calibri" w:hAnsi="Calibri" w:asciiTheme="minorHAnsi" w:hAnsiTheme="minorHAnsi"/>
        </w:rPr>
        <w:t xml:space="preserve"> to jest współpracy równoprawnych partnerów na warunkach określonych stosownym porozumieniem lub umową,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 xml:space="preserve">4) efektywności, </w:t>
      </w:r>
      <w:r>
        <w:rPr>
          <w:rFonts w:eastAsia="TimesNewRomanPSMT" w:cs="Times New Roman" w:ascii="Calibri" w:hAnsi="Calibri" w:asciiTheme="minorHAnsi" w:hAnsiTheme="minorHAnsi"/>
        </w:rPr>
        <w:t>polegającej na dążeniu do osiągnięcia możliwie najlepszych efektów w trakcie realizacji zadań publicznych,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 xml:space="preserve">5) uczciwej konkurencji i jawności, </w:t>
      </w:r>
      <w:r>
        <w:rPr>
          <w:rFonts w:eastAsia="TimesNewRomanPSMT" w:cs="Times New Roman" w:ascii="Calibri" w:hAnsi="Calibri" w:asciiTheme="minorHAnsi" w:hAnsiTheme="minorHAnsi"/>
        </w:rPr>
        <w:t>to jest przestrzeganiu przejrzystych zasad współpracy, opartych na jawnych i równych kryteriach wyboru realizatora zadania publicznego.</w:t>
      </w:r>
    </w:p>
    <w:p>
      <w:pPr>
        <w:pStyle w:val="Nagwek1"/>
        <w:spacing w:lineRule="auto" w:line="360"/>
        <w:rPr>
          <w:rFonts w:ascii="Calibri" w:hAnsi="Calibri" w:eastAsia="Times New Roman" w:cs="Times New Roman" w:asciiTheme="minorHAnsi" w:hAnsiTheme="minorHAnsi"/>
          <w:bCs/>
          <w:sz w:val="24"/>
          <w:szCs w:val="24"/>
        </w:rPr>
      </w:pPr>
      <w:bookmarkStart w:id="6" w:name="_Toc464376127"/>
      <w:r>
        <w:rPr>
          <w:rFonts w:eastAsia="Times New Roman" w:cs="Times New Roman" w:ascii="Calibri" w:hAnsi="Calibri" w:asciiTheme="minorHAnsi" w:hAnsiTheme="minorHAnsi"/>
          <w:bCs/>
          <w:sz w:val="24"/>
          <w:szCs w:val="24"/>
        </w:rPr>
        <w:t>IV. ZAKRES PRZEDMIOTOWY</w:t>
      </w:r>
      <w:bookmarkEnd w:id="6"/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-BoldMT" w:cs="Times New Roman" w:ascii="Calibri" w:hAnsi="Calibri" w:asciiTheme="minorHAnsi" w:hAnsiTheme="minorHAnsi"/>
          <w:bCs/>
        </w:rPr>
        <w:t xml:space="preserve">§ 6. </w:t>
      </w:r>
      <w:r>
        <w:rPr>
          <w:rFonts w:eastAsia="TimesNewRomanPSMT" w:cs="Times New Roman" w:ascii="Calibri" w:hAnsi="Calibri" w:asciiTheme="minorHAnsi" w:hAnsiTheme="minorHAnsi"/>
        </w:rPr>
        <w:t>Współpraca Gminy i organizacji obejmuje w szczególności sferę zadań publicznych, o których mowa w art. 4 ust. 1 ustawy oraz w art. 7 ust. 1 ustawy z dnia 8 marca 1990 roku</w:t>
      </w:r>
      <w:r>
        <w:rPr>
          <w:rFonts w:eastAsia="TimesNewRomanPS-BoldMT" w:cs="Times New Roman" w:ascii="Calibri" w:hAnsi="Calibri" w:asciiTheme="minorHAnsi" w:hAnsiTheme="minorHAnsi"/>
        </w:rPr>
        <w:t xml:space="preserve"> </w:t>
      </w:r>
      <w:r>
        <w:rPr>
          <w:rFonts w:eastAsia="TimesNewRomanPSMT" w:cs="Times New Roman" w:ascii="Calibri" w:hAnsi="Calibri" w:asciiTheme="minorHAnsi" w:hAnsiTheme="minorHAnsi"/>
        </w:rPr>
        <w:t>o samorządzie gminnym (</w:t>
      </w:r>
      <w:r>
        <w:rPr>
          <w:rFonts w:eastAsia="Calibri" w:cs="Calibri" w:ascii="Calibri" w:hAnsi="Calibri" w:asciiTheme="minorHAnsi" w:hAnsiTheme="minorHAnsi"/>
          <w:lang w:eastAsia="ar-SA"/>
        </w:rPr>
        <w:t>Dz. U. z 2020 r. poz. 713.</w:t>
      </w:r>
      <w:r>
        <w:rPr>
          <w:rFonts w:eastAsia="TimesNewRomanPSMT" w:cs="Times New Roman" w:ascii="Calibri" w:hAnsi="Calibri" w:asciiTheme="minorHAnsi" w:hAnsiTheme="minorHAnsi"/>
        </w:rPr>
        <w:t>)</w:t>
      </w:r>
    </w:p>
    <w:p>
      <w:pPr>
        <w:pStyle w:val="Nagwek1"/>
        <w:spacing w:lineRule="auto" w:line="360"/>
        <w:rPr>
          <w:rFonts w:ascii="Calibri" w:hAnsi="Calibri" w:eastAsia="Times New Roman" w:cs="Times New Roman" w:asciiTheme="minorHAnsi" w:hAnsiTheme="minorHAnsi"/>
          <w:bCs/>
          <w:sz w:val="24"/>
          <w:szCs w:val="24"/>
        </w:rPr>
      </w:pPr>
      <w:bookmarkStart w:id="7" w:name="_Toc464376128"/>
      <w:r>
        <w:rPr>
          <w:rFonts w:eastAsia="Times New Roman" w:cs="Times New Roman" w:ascii="Calibri" w:hAnsi="Calibri" w:asciiTheme="minorHAnsi" w:hAnsiTheme="minorHAnsi"/>
          <w:bCs/>
          <w:sz w:val="24"/>
          <w:szCs w:val="24"/>
        </w:rPr>
        <w:t>V. FORMY WSPÓŁPRACY</w:t>
      </w:r>
      <w:bookmarkEnd w:id="7"/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-BoldMT" w:cs="Times New Roman" w:ascii="Calibri" w:hAnsi="Calibri" w:asciiTheme="minorHAnsi" w:hAnsiTheme="minorHAnsi"/>
          <w:bCs/>
        </w:rPr>
        <w:t>§ 7. 1.Współpraca Gminy z organizacjami opiera się na zasadach określonych w </w:t>
      </w:r>
      <w:r>
        <w:rPr>
          <w:rFonts w:eastAsia="TimesNewRomanPSMT" w:cs="Times New Roman" w:ascii="Calibri" w:hAnsi="Calibri" w:asciiTheme="minorHAnsi" w:hAnsiTheme="minorHAnsi"/>
        </w:rPr>
        <w:t>§ 5 programu i ma charakter finansowy i pozafinansowy.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>2. Współpraca finansowa realizowana będzie m.in. poprzez: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>1) Zlecanie organizacjom realizacji zadań publicznych w formie: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a) powierzania</w:t>
      </w:r>
      <w:r>
        <w:rPr>
          <w:rFonts w:eastAsia="TimesNewRomanPSMT" w:cs="Times New Roman" w:ascii="Calibri" w:hAnsi="Calibri" w:asciiTheme="minorHAnsi" w:hAnsiTheme="minorHAnsi"/>
        </w:rPr>
        <w:t xml:space="preserve"> wykonania zadań publicznych wraz z udzieleniem dotacji na finansowanie ich realizacji lub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 xml:space="preserve">b) wspierania </w:t>
      </w:r>
      <w:r>
        <w:rPr>
          <w:rFonts w:eastAsia="TimesNewRomanPSMT" w:cs="Times New Roman" w:ascii="Calibri" w:hAnsi="Calibri" w:asciiTheme="minorHAnsi" w:hAnsiTheme="minorHAnsi"/>
        </w:rPr>
        <w:t>wykonywania zadań publicznych, wraz z  udzieleniem  dotacji na dofinansowanie ich realizacji.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>2) Zlecanie organizacjom  realizacji zadań publicznych odbywa się po przeprowadzeniu otwartego konkursu ofert lub w innym trybie określonym</w:t>
      </w:r>
      <w:r>
        <w:rPr>
          <w:rFonts w:eastAsia="TimesNewRomanPS-BoldMT" w:cs="Times New Roman" w:ascii="Calibri" w:hAnsi="Calibri" w:asciiTheme="minorHAnsi" w:hAnsiTheme="minorHAnsi"/>
        </w:rPr>
        <w:t xml:space="preserve">  </w:t>
      </w:r>
      <w:r>
        <w:rPr>
          <w:rFonts w:eastAsia="TimesNewRomanPSMT" w:cs="Times New Roman" w:ascii="Calibri" w:hAnsi="Calibri" w:asciiTheme="minorHAnsi" w:hAnsiTheme="minorHAnsi"/>
        </w:rPr>
        <w:t>w ustawie.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>3) Zlecanie organizacjom realizacji zadań publicznych o charakterze lokalnym może odbywać się z pominięciem otwartego konkursu</w:t>
      </w:r>
      <w:r>
        <w:rPr>
          <w:rFonts w:eastAsia="TimesNewRomanPS-BoldMT" w:cs="Times New Roman" w:ascii="Calibri" w:hAnsi="Calibri" w:asciiTheme="minorHAnsi" w:hAnsiTheme="minorHAnsi"/>
        </w:rPr>
        <w:t xml:space="preserve"> </w:t>
      </w:r>
      <w:r>
        <w:rPr>
          <w:rFonts w:eastAsia="TimesNewRomanPSMT" w:cs="Times New Roman" w:ascii="Calibri" w:hAnsi="Calibri" w:asciiTheme="minorHAnsi" w:hAnsiTheme="minorHAnsi"/>
        </w:rPr>
        <w:t xml:space="preserve">ofert, zgodnie z  art. 19a ustawy. Wartość zadania nie może </w:t>
      </w:r>
      <w:r>
        <w:rPr>
          <w:rFonts w:ascii="Calibri" w:hAnsi="Calibri" w:asciiTheme="minorHAnsi" w:hAnsiTheme="minorHAnsi"/>
        </w:rPr>
        <w:t>przekroczyć 20% dotacji planowanych w roku budżetowym na realizację zadań publicznych przez organizacje</w:t>
      </w:r>
      <w:r>
        <w:rPr>
          <w:rFonts w:eastAsia="TimesNewRomanPSMT" w:cs="Times New Roman" w:ascii="Calibri" w:hAnsi="Calibri" w:asciiTheme="minorHAnsi" w:hAnsiTheme="minorHAnsi"/>
        </w:rPr>
        <w:t xml:space="preserve">. Wysokość dofinansowania lub finansowania nie może przekroczyć kwoty 10.000,00 zł, a zadanie zostanie zrealizowane w terminie nie dłuższym niż 90 dni. Łączna kwota przekazanej dotacji dla tej samej organizacji w roku kalendarzowym nie może przekroczyć 20.000,00 zł. 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>4) Udzielanie w trybie pozakonkursowym dotacji celowej na zadania z zakresu ochrony przeciwpożarowej na podstawie ustawy o ochronie przeciwpożarowej.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>3. Współpraca pozafinansowa realizowana będzie m.in. poprzez: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1)</w:t>
      </w:r>
      <w:r>
        <w:rPr>
          <w:rFonts w:eastAsia="TimesNewRomanPSMT" w:cs="Times New Roman" w:ascii="Calibri" w:hAnsi="Calibri" w:asciiTheme="minorHAnsi" w:hAnsiTheme="minorHAnsi"/>
        </w:rPr>
        <w:t xml:space="preserve"> wzajemne informowanie się o planowanych kierunkach działalności i współdziałania w celu ujednolicenia i zharmonizowania tych kierunków,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2)</w:t>
      </w:r>
      <w:r>
        <w:rPr>
          <w:rFonts w:eastAsia="TimesNewRomanPSMT" w:cs="Times New Roman" w:ascii="Calibri" w:hAnsi="Calibri" w:asciiTheme="minorHAnsi" w:hAnsiTheme="minorHAnsi"/>
        </w:rPr>
        <w:t xml:space="preserve"> konsultowanie</w:t>
      </w:r>
      <w:r>
        <w:rPr>
          <w:rFonts w:eastAsia="TimesNewRomanPSMT" w:cs="Times New Roman" w:ascii="Calibri" w:hAnsi="Calibri" w:asciiTheme="minorHAnsi" w:hAnsiTheme="minorHAnsi"/>
          <w:color w:val="FF0000"/>
        </w:rPr>
        <w:t xml:space="preserve"> </w:t>
      </w:r>
      <w:r>
        <w:rPr>
          <w:rFonts w:eastAsia="TimesNewRomanPSMT" w:cs="Times New Roman" w:ascii="Calibri" w:hAnsi="Calibri" w:asciiTheme="minorHAnsi" w:hAnsiTheme="minorHAnsi"/>
        </w:rPr>
        <w:t>z organizacjami projektów aktów normatywnych w dziedzinach dotyczących ich działalności statutowej,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3)</w:t>
      </w:r>
      <w:r>
        <w:rPr>
          <w:rFonts w:eastAsia="TimesNewRomanPSMT" w:cs="Times New Roman" w:ascii="Calibri" w:hAnsi="Calibri" w:asciiTheme="minorHAnsi" w:hAnsiTheme="minorHAnsi"/>
        </w:rPr>
        <w:t xml:space="preserve"> tworzenie wspólnych zespołów o charakterze doradczym i inicjatywnym, złożonych z przedstawicieli organizacji oraz przedstawicieli właściwych organów administracji publicznej,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>4) publikowanie na stronie internetowej Urzędu informacji ważnych dla organizacji,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5)</w:t>
      </w:r>
      <w:r>
        <w:rPr>
          <w:rFonts w:eastAsia="TimesNewRomanPSMT" w:cs="Times New Roman" w:ascii="Calibri" w:hAnsi="Calibri" w:asciiTheme="minorHAnsi" w:hAnsiTheme="minorHAnsi"/>
        </w:rPr>
        <w:t xml:space="preserve"> zawieranie umów o wykonanie inicjatywy lokalnej na zasadach określonych w ustawie,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6)</w:t>
      </w:r>
      <w:r>
        <w:rPr>
          <w:rFonts w:eastAsia="TimesNewRomanPSMT" w:cs="Times New Roman" w:ascii="Calibri" w:hAnsi="Calibri" w:asciiTheme="minorHAnsi" w:hAnsiTheme="minorHAnsi"/>
        </w:rPr>
        <w:t xml:space="preserve"> zawieranie umów partnerstwa określonych w art. 28a ust. 1 ustawy z dnia 6 grudnia 2006 r. o zasadach prowadzenia polityki rozwoju (Dz. </w:t>
      </w:r>
      <w:r>
        <w:rPr>
          <w:rFonts w:ascii="Calibri" w:hAnsi="Calibri" w:asciiTheme="minorHAnsi" w:hAnsiTheme="minorHAnsi"/>
        </w:rPr>
        <w:t>U. z 2019 r. poz. 1295.</w:t>
      </w:r>
      <w:r>
        <w:rPr>
          <w:rFonts w:eastAsia="TimesNewRomanPSMT" w:cs="Times New Roman" w:ascii="Calibri" w:hAnsi="Calibri" w:asciiTheme="minorHAnsi" w:hAnsiTheme="minorHAnsi"/>
        </w:rPr>
        <w:t>) oraz porozumienia albo umowy o partnerstwie określone w akcie prawnym regulującym zasady realizacji programów w zakresie polityki spójności finansowych w perspektywie finansowej 2021-2027.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>7) obejmowanie honorowym patronatem Wójta przedsięwzięć realizowanych przez organizacje.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>8) udostępnianie, w miarę możliwości, pomieszczeń Urzędu oraz innych zasobów niezbędnych do realizacji zadań przez organizacje.</w:t>
      </w:r>
    </w:p>
    <w:p>
      <w:pPr>
        <w:pStyle w:val="Nagwek1"/>
        <w:spacing w:lineRule="auto" w:line="360"/>
        <w:rPr>
          <w:rFonts w:ascii="Calibri" w:hAnsi="Calibri" w:cs="Times New Roman" w:asciiTheme="minorHAnsi" w:hAnsiTheme="minorHAnsi"/>
          <w:sz w:val="24"/>
          <w:szCs w:val="24"/>
        </w:rPr>
      </w:pPr>
      <w:bookmarkStart w:id="8" w:name="_Toc464376129"/>
      <w:r>
        <w:rPr>
          <w:rFonts w:eastAsia="Times New Roman" w:cs="Times New Roman" w:ascii="Calibri" w:hAnsi="Calibri" w:asciiTheme="minorHAnsi" w:hAnsiTheme="minorHAnsi"/>
          <w:bCs/>
          <w:sz w:val="24"/>
          <w:szCs w:val="24"/>
        </w:rPr>
        <w:t>VI. ZADANIA  PRIORYTETOWE</w:t>
      </w:r>
      <w:bookmarkEnd w:id="8"/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-BoldMT" w:cs="Times New Roman" w:ascii="Calibri" w:hAnsi="Calibri" w:asciiTheme="minorHAnsi" w:hAnsiTheme="minorHAnsi"/>
          <w:bCs/>
        </w:rPr>
        <w:t xml:space="preserve">§ 8. </w:t>
      </w:r>
      <w:r>
        <w:rPr>
          <w:rFonts w:eastAsia="TimesNewRomanPSMT" w:cs="Times New Roman" w:ascii="Calibri" w:hAnsi="Calibri" w:asciiTheme="minorHAnsi" w:hAnsiTheme="minorHAnsi"/>
        </w:rPr>
        <w:t>Gmina współpracuje z organizacjami w sferze zadań publicznych, które zostały wymienione w ustawie.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-BoldMT" w:cs="Times New Roman" w:ascii="Calibri" w:hAnsi="Calibri" w:asciiTheme="minorHAnsi" w:hAnsiTheme="minorHAnsi"/>
          <w:bCs/>
        </w:rPr>
        <w:t xml:space="preserve">§ 9. </w:t>
      </w:r>
      <w:r>
        <w:rPr>
          <w:rFonts w:eastAsia="TimesNewRomanPSMT" w:cs="Times New Roman" w:ascii="Calibri" w:hAnsi="Calibri" w:asciiTheme="minorHAnsi" w:hAnsiTheme="minorHAnsi"/>
        </w:rPr>
        <w:t>W roku 2021 Gmina będzie wspierać realizację zadań publicznych dotyczących w szczególności: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1)</w:t>
      </w:r>
      <w:r>
        <w:rPr>
          <w:rFonts w:eastAsia="TimesNewRomanPSMT" w:cs="Times New Roman" w:ascii="Calibri" w:hAnsi="Calibri" w:asciiTheme="minorHAnsi" w:hAnsiTheme="minorHAnsi"/>
        </w:rPr>
        <w:t xml:space="preserve"> wspierania i upowszechniania kultury fizycznej oraz sportu,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2)</w:t>
      </w:r>
      <w:r>
        <w:rPr>
          <w:rFonts w:eastAsia="TimesNewRomanPSMT" w:cs="Times New Roman" w:ascii="Calibri" w:hAnsi="Calibri" w:asciiTheme="minorHAnsi" w:hAnsiTheme="minorHAnsi"/>
        </w:rPr>
        <w:t xml:space="preserve"> kultury, sztuki, ochrony dóbr kultury i dziedzictwa narodowego,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3)</w:t>
      </w:r>
      <w:r>
        <w:rPr>
          <w:rFonts w:eastAsia="TimesNewRomanPSMT" w:cs="Times New Roman" w:ascii="Calibri" w:hAnsi="Calibri" w:asciiTheme="minorHAnsi" w:hAnsiTheme="minorHAnsi"/>
        </w:rPr>
        <w:t xml:space="preserve"> podtrzymywania tradycji narodowej i regionalnej, pielęgnowania polskości oraz rozwoju świadomości narodowej, obywatelskiej i kulturowej,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4)</w:t>
      </w:r>
      <w:r>
        <w:rPr>
          <w:rFonts w:eastAsia="TimesNewRomanPSMT" w:cs="Times New Roman" w:ascii="Calibri" w:hAnsi="Calibri" w:asciiTheme="minorHAnsi" w:hAnsiTheme="minorHAnsi"/>
        </w:rPr>
        <w:t xml:space="preserve"> nauki, edukacji, oświaty i wychowania,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5)</w:t>
      </w:r>
      <w:r>
        <w:rPr>
          <w:rFonts w:eastAsia="TimesNewRomanPSMT" w:cs="Times New Roman" w:ascii="Calibri" w:hAnsi="Calibri" w:asciiTheme="minorHAnsi" w:hAnsiTheme="minorHAnsi"/>
        </w:rPr>
        <w:t xml:space="preserve"> ochrony i promocji zdrowia  w tym działalności leczniczej w rozumieniu ustawy </w:t>
      </w:r>
      <w:r>
        <w:rPr>
          <w:rFonts w:ascii="Calibri" w:hAnsi="Calibri" w:asciiTheme="minorHAnsi" w:hAnsiTheme="minorHAnsi"/>
        </w:rPr>
        <w:t xml:space="preserve"> z dnia 15 kwietnia 2011 r. o działalności leczniczej (Dz. U. z 2020 r. poz. 29 z późn. zm).</w:t>
      </w:r>
      <w:r>
        <w:rPr>
          <w:rFonts w:eastAsia="TimesNewRomanPSMT" w:cs="Times New Roman" w:ascii="Calibri" w:hAnsi="Calibri" w:asciiTheme="minorHAnsi" w:hAnsiTheme="minorHAnsi"/>
        </w:rPr>
        <w:t xml:space="preserve"> 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>6) działalności na rzecz osób niepełnosprawnych,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7)</w:t>
      </w:r>
      <w:r>
        <w:rPr>
          <w:rFonts w:eastAsia="TimesNewRomanPSMT" w:cs="Times New Roman" w:ascii="Calibri" w:hAnsi="Calibri" w:asciiTheme="minorHAnsi" w:hAnsiTheme="minorHAnsi"/>
        </w:rPr>
        <w:t xml:space="preserve"> pomocy społecznej, w tym pomocy rodzinom i osobom w trudnej sytuacji życiowej oraz</w:t>
      </w:r>
      <w:r>
        <w:rPr>
          <w:rFonts w:eastAsia="TimesNewRomanPSMT" w:cs="Times New Roman" w:ascii="Calibri" w:hAnsi="Calibri" w:asciiTheme="minorHAnsi" w:hAnsiTheme="minorHAnsi"/>
          <w:color w:val="FF0000"/>
        </w:rPr>
        <w:t xml:space="preserve"> </w:t>
      </w:r>
      <w:r>
        <w:rPr>
          <w:rFonts w:eastAsia="TimesNewRomanPSMT" w:cs="Times New Roman" w:ascii="Calibri" w:hAnsi="Calibri" w:asciiTheme="minorHAnsi" w:hAnsiTheme="minorHAnsi"/>
        </w:rPr>
        <w:t>wyrównywania szans</w:t>
      </w:r>
      <w:r>
        <w:rPr>
          <w:rFonts w:eastAsia="TimesNewRomanPSMT" w:cs="Times New Roman" w:ascii="Calibri" w:hAnsi="Calibri" w:asciiTheme="minorHAnsi" w:hAnsiTheme="minorHAnsi"/>
          <w:color w:val="FF0000"/>
        </w:rPr>
        <w:t xml:space="preserve"> </w:t>
      </w:r>
      <w:r>
        <w:rPr>
          <w:rFonts w:eastAsia="TimesNewRomanPSMT" w:cs="Times New Roman" w:ascii="Calibri" w:hAnsi="Calibri" w:asciiTheme="minorHAnsi" w:hAnsiTheme="minorHAnsi"/>
        </w:rPr>
        <w:t>tych rodzin i osób,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8)</w:t>
      </w:r>
      <w:r>
        <w:rPr>
          <w:rFonts w:eastAsia="TimesNewRomanPSMT" w:cs="Times New Roman" w:ascii="Calibri" w:hAnsi="Calibri" w:asciiTheme="minorHAnsi" w:hAnsiTheme="minorHAnsi"/>
        </w:rPr>
        <w:t xml:space="preserve"> przeciwdziałania uzależnieniom i patologiom społecznym,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>9) działania na rzecz osób w wieku emerytalnym,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10)</w:t>
      </w:r>
      <w:r>
        <w:rPr>
          <w:rFonts w:eastAsia="TimesNewRomanPSMT" w:cs="Times New Roman" w:ascii="Calibri" w:hAnsi="Calibri" w:asciiTheme="minorHAnsi" w:hAnsiTheme="minorHAnsi"/>
        </w:rPr>
        <w:t xml:space="preserve"> krajoznawstwa oraz wypoczynku dzieci i młodzieży,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11)</w:t>
      </w:r>
      <w:r>
        <w:rPr>
          <w:rFonts w:eastAsia="TimesNewRomanPSMT" w:cs="Times New Roman" w:ascii="Calibri" w:hAnsi="Calibri" w:asciiTheme="minorHAnsi" w:hAnsiTheme="minorHAnsi"/>
        </w:rPr>
        <w:t xml:space="preserve"> porządku i bezpieczeństwa publicznego,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12)</w:t>
      </w:r>
      <w:r>
        <w:rPr>
          <w:rFonts w:eastAsia="TimesNewRomanPSMT" w:cs="Times New Roman" w:ascii="Calibri" w:hAnsi="Calibri" w:asciiTheme="minorHAnsi" w:hAnsiTheme="minorHAnsi"/>
        </w:rPr>
        <w:t xml:space="preserve"> ratownictwa i ochrony ludności,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13)</w:t>
      </w:r>
      <w:r>
        <w:rPr>
          <w:rFonts w:eastAsia="TimesNewRomanPSMT" w:cs="Times New Roman" w:ascii="Calibri" w:hAnsi="Calibri" w:asciiTheme="minorHAnsi" w:hAnsiTheme="minorHAnsi"/>
        </w:rPr>
        <w:t xml:space="preserve"> pomocy ofiarom katastrof, klęsk żywiołowych, konfliktów zbrojnych i wojen w kraju i zagranicą,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 xml:space="preserve">14) </w:t>
      </w:r>
      <w:r>
        <w:rPr>
          <w:rFonts w:eastAsia="TimesNewRomanPSMT" w:cs="Times New Roman" w:ascii="Calibri" w:hAnsi="Calibri" w:asciiTheme="minorHAnsi" w:hAnsiTheme="minorHAnsi"/>
        </w:rPr>
        <w:t>upowszechniania i ochrony praw konsumentów,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15)</w:t>
      </w:r>
      <w:r>
        <w:rPr>
          <w:rFonts w:eastAsia="TimesNewRomanPSMT" w:cs="Times New Roman" w:ascii="Calibri" w:hAnsi="Calibri" w:asciiTheme="minorHAnsi" w:hAnsiTheme="minorHAnsi"/>
        </w:rPr>
        <w:t xml:space="preserve"> działań na rzecz integracji europejskiej oraz rozwijania kontaktów i współpracy miedzy społeczeństwami,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16)</w:t>
      </w:r>
      <w:r>
        <w:rPr>
          <w:rFonts w:eastAsia="TimesNewRomanPSMT" w:cs="Times New Roman" w:ascii="Calibri" w:hAnsi="Calibri" w:asciiTheme="minorHAnsi" w:hAnsiTheme="minorHAnsi"/>
        </w:rPr>
        <w:t xml:space="preserve"> promocji i organizacji wolontariatu,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17)</w:t>
      </w:r>
      <w:r>
        <w:rPr>
          <w:rFonts w:eastAsia="TimesNewRomanPSMT" w:cs="Times New Roman" w:ascii="Calibri" w:hAnsi="Calibri" w:asciiTheme="minorHAnsi" w:hAnsiTheme="minorHAnsi"/>
        </w:rPr>
        <w:t xml:space="preserve"> ekologii i ochrony zwierząt oraz ochrony dziedzictwa przyrodniczego,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>18) działalności na rzecz dzieci i młodzieży, w tym wypoczynku dzieci i młodzieży,</w:t>
      </w:r>
    </w:p>
    <w:p>
      <w:pPr>
        <w:pStyle w:val="Standard"/>
        <w:spacing w:lineRule="auto" w:line="360"/>
        <w:rPr>
          <w:rFonts w:ascii="Calibri" w:hAnsi="Calibri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</w:rPr>
        <w:t xml:space="preserve">19) </w:t>
      </w:r>
      <w:r>
        <w:rPr>
          <w:rFonts w:ascii="Calibri" w:hAnsi="Calibri" w:asciiTheme="minorHAnsi" w:hAnsiTheme="minorHAnsi"/>
        </w:rPr>
        <w:t>nauki, szkolnictwa wyższego, edukacji, oświaty i wychowania,</w:t>
      </w:r>
    </w:p>
    <w:p>
      <w:pPr>
        <w:pStyle w:val="Standard"/>
        <w:spacing w:lineRule="auto" w:line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20) turystyki i krajoznawstwa,</w:t>
      </w:r>
    </w:p>
    <w:p>
      <w:pPr>
        <w:pStyle w:val="Nagwek1"/>
        <w:spacing w:lineRule="auto" w:line="360"/>
        <w:rPr>
          <w:rFonts w:ascii="Calibri" w:hAnsi="Calibri" w:eastAsia="Times New Roman" w:cs="Times New Roman" w:asciiTheme="minorHAnsi" w:hAnsiTheme="minorHAnsi"/>
          <w:bCs/>
          <w:sz w:val="24"/>
          <w:szCs w:val="24"/>
        </w:rPr>
      </w:pPr>
      <w:bookmarkStart w:id="9" w:name="_Toc464376130"/>
      <w:r>
        <w:rPr>
          <w:rFonts w:eastAsia="Times New Roman" w:cs="Times New Roman" w:ascii="Calibri" w:hAnsi="Calibri" w:asciiTheme="minorHAnsi" w:hAnsiTheme="minorHAnsi"/>
          <w:bCs/>
          <w:sz w:val="24"/>
          <w:szCs w:val="24"/>
        </w:rPr>
        <w:t>VII. OKRES REALIZACJI PROGRAMU</w:t>
      </w:r>
      <w:bookmarkEnd w:id="9"/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-BoldMT" w:cs="Times New Roman" w:ascii="Calibri" w:hAnsi="Calibri" w:asciiTheme="minorHAnsi" w:hAnsiTheme="minorHAnsi"/>
          <w:bCs/>
        </w:rPr>
        <w:t xml:space="preserve">§ 10. </w:t>
      </w:r>
      <w:r>
        <w:rPr>
          <w:rFonts w:eastAsia="TimesNewRomanPSMT" w:cs="Times New Roman" w:ascii="Calibri" w:hAnsi="Calibri" w:asciiTheme="minorHAnsi" w:hAnsiTheme="minorHAnsi"/>
        </w:rPr>
        <w:t>Program będzie realizowany w okresie od 1 stycznia 2021 roku do 31 grudnia 2021 roku.</w:t>
      </w:r>
    </w:p>
    <w:p>
      <w:pPr>
        <w:pStyle w:val="Nagwek1"/>
        <w:spacing w:lineRule="auto" w:line="360"/>
        <w:rPr>
          <w:rFonts w:ascii="Calibri" w:hAnsi="Calibri" w:eastAsia="Times New Roman" w:cs="Times New Roman" w:asciiTheme="minorHAnsi" w:hAnsiTheme="minorHAnsi"/>
          <w:bCs/>
          <w:sz w:val="24"/>
          <w:szCs w:val="24"/>
        </w:rPr>
      </w:pPr>
      <w:bookmarkStart w:id="10" w:name="_Toc464376131"/>
      <w:r>
        <w:rPr>
          <w:rFonts w:eastAsia="Times New Roman" w:cs="Times New Roman" w:ascii="Calibri" w:hAnsi="Calibri" w:asciiTheme="minorHAnsi" w:hAnsiTheme="minorHAnsi"/>
          <w:bCs/>
          <w:sz w:val="24"/>
          <w:szCs w:val="24"/>
        </w:rPr>
        <w:t>VIII. SPOSÓB REALIZACJI PROGRAMU</w:t>
      </w:r>
      <w:bookmarkEnd w:id="10"/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-BoldMT" w:cs="Times New Roman" w:ascii="Calibri" w:hAnsi="Calibri" w:asciiTheme="minorHAnsi" w:hAnsiTheme="minorHAnsi"/>
          <w:bCs/>
        </w:rPr>
        <w:t xml:space="preserve">§ 11. </w:t>
      </w:r>
      <w:r>
        <w:rPr>
          <w:rFonts w:eastAsia="TimesNewRomanPSMT" w:cs="Times New Roman" w:ascii="Calibri" w:hAnsi="Calibri" w:asciiTheme="minorHAnsi" w:hAnsiTheme="minorHAnsi"/>
        </w:rPr>
        <w:t>Zlecanie realizacji zadań przez Gminę dla organizacji obejmuje w pierwszej kolejności te zadania, które Program określa jako priorytetowe i odbywa się po przeprowadzeniu otwartego konkursu ofert w oparciu o przepisy Ustawy i wydane na jej podstawie przepisy wykonawcze oraz kompetencje właściwego organu Gminy, chyba, że przepisy odrębne przewidują inny tryb zlecenia</w:t>
      </w:r>
      <w:r>
        <w:rPr>
          <w:rFonts w:eastAsia="TimesNewRomanPS-BoldMT" w:cs="Times New Roman" w:ascii="Calibri" w:hAnsi="Calibri" w:asciiTheme="minorHAnsi" w:hAnsiTheme="minorHAnsi"/>
        </w:rPr>
        <w:t xml:space="preserve"> </w:t>
      </w:r>
      <w:r>
        <w:rPr>
          <w:rFonts w:eastAsia="TimesNewRomanPSMT" w:cs="Times New Roman" w:ascii="Calibri" w:hAnsi="Calibri" w:asciiTheme="minorHAnsi" w:hAnsiTheme="minorHAnsi"/>
        </w:rPr>
        <w:t>zadania.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-BoldMT" w:cs="Times New Roman" w:ascii="Calibri" w:hAnsi="Calibri" w:asciiTheme="minorHAnsi" w:hAnsiTheme="minorHAnsi"/>
          <w:bCs/>
        </w:rPr>
        <w:t xml:space="preserve">§ 12. </w:t>
      </w:r>
      <w:r>
        <w:rPr>
          <w:rFonts w:eastAsia="TimesNewRomanPSMT" w:cs="Times New Roman" w:ascii="Calibri" w:hAnsi="Calibri" w:asciiTheme="minorHAnsi" w:hAnsiTheme="minorHAnsi"/>
        </w:rPr>
        <w:t>Realizacja zadań może odbywać się również w trybie dotacji, o których mowa w art. 19a</w:t>
      </w:r>
      <w:r>
        <w:rPr>
          <w:rFonts w:eastAsia="TimesNewRomanPS-BoldMT" w:cs="Times New Roman" w:ascii="Calibri" w:hAnsi="Calibri" w:asciiTheme="minorHAnsi" w:hAnsiTheme="minorHAnsi"/>
        </w:rPr>
        <w:t xml:space="preserve"> </w:t>
      </w:r>
      <w:r>
        <w:rPr>
          <w:rFonts w:eastAsia="TimesNewRomanPSMT" w:cs="Times New Roman" w:ascii="Calibri" w:hAnsi="Calibri" w:asciiTheme="minorHAnsi" w:hAnsiTheme="minorHAnsi"/>
        </w:rPr>
        <w:t>ustawy.</w:t>
      </w:r>
    </w:p>
    <w:p>
      <w:pPr>
        <w:pStyle w:val="Nagwek1"/>
        <w:spacing w:lineRule="auto" w:line="360"/>
        <w:rPr>
          <w:rFonts w:ascii="Calibri" w:hAnsi="Calibri" w:eastAsia="Times New Roman" w:cs="Times New Roman" w:asciiTheme="minorHAnsi" w:hAnsiTheme="minorHAnsi"/>
          <w:bCs/>
          <w:sz w:val="24"/>
          <w:szCs w:val="24"/>
        </w:rPr>
      </w:pPr>
      <w:bookmarkStart w:id="11" w:name="_Toc464376132"/>
      <w:r>
        <w:rPr>
          <w:rFonts w:eastAsia="Times New Roman" w:cs="Times New Roman" w:ascii="Calibri" w:hAnsi="Calibri" w:asciiTheme="minorHAnsi" w:hAnsiTheme="minorHAnsi"/>
          <w:bCs/>
          <w:sz w:val="24"/>
          <w:szCs w:val="24"/>
        </w:rPr>
        <w:t>IX. WYSOKO</w:t>
      </w:r>
      <w:r>
        <w:rPr>
          <w:rFonts w:eastAsia="TimesNewRoman,Bold" w:cs="Times New Roman" w:ascii="Calibri" w:hAnsi="Calibri" w:asciiTheme="minorHAnsi" w:hAnsiTheme="minorHAnsi"/>
          <w:bCs/>
          <w:sz w:val="24"/>
          <w:szCs w:val="24"/>
        </w:rPr>
        <w:t>ŚĆ Ś</w:t>
      </w:r>
      <w:r>
        <w:rPr>
          <w:rFonts w:eastAsia="Times New Roman" w:cs="Times New Roman" w:ascii="Calibri" w:hAnsi="Calibri" w:asciiTheme="minorHAnsi" w:hAnsiTheme="minorHAnsi"/>
          <w:bCs/>
          <w:sz w:val="24"/>
          <w:szCs w:val="24"/>
        </w:rPr>
        <w:t>RODKÓW PRZEZNACZONYCH NA REALIZACJ</w:t>
      </w:r>
      <w:r>
        <w:rPr>
          <w:rFonts w:eastAsia="TimesNewRoman,Bold" w:cs="Times New Roman" w:ascii="Calibri" w:hAnsi="Calibri" w:asciiTheme="minorHAnsi" w:hAnsiTheme="minorHAnsi"/>
          <w:bCs/>
          <w:sz w:val="24"/>
          <w:szCs w:val="24"/>
        </w:rPr>
        <w:t xml:space="preserve">Ę </w:t>
      </w:r>
      <w:r>
        <w:rPr>
          <w:rFonts w:eastAsia="Times New Roman" w:cs="Times New Roman" w:ascii="Calibri" w:hAnsi="Calibri" w:asciiTheme="minorHAnsi" w:hAnsiTheme="minorHAnsi"/>
          <w:bCs/>
          <w:sz w:val="24"/>
          <w:szCs w:val="24"/>
        </w:rPr>
        <w:t>PROGRAMU</w:t>
      </w:r>
      <w:bookmarkEnd w:id="11"/>
    </w:p>
    <w:p>
      <w:pPr>
        <w:pStyle w:val="Standard"/>
        <w:spacing w:lineRule="auto" w:line="360"/>
        <w:rPr>
          <w:rFonts w:ascii="Calibri" w:hAnsi="Calibri" w:eastAsia="TimesNewRomanPS-BoldMT" w:cs="Times New Roman" w:asciiTheme="minorHAnsi" w:hAnsiTheme="minorHAnsi"/>
          <w:bCs/>
        </w:rPr>
      </w:pPr>
      <w:r>
        <w:rPr>
          <w:rFonts w:eastAsia="TimesNewRomanPS-BoldMT" w:cs="Times New Roman" w:ascii="Calibri" w:hAnsi="Calibri" w:asciiTheme="minorHAnsi" w:hAnsiTheme="minorHAnsi"/>
          <w:bCs/>
        </w:rPr>
        <w:t>§ 13. 1 Program finansowany będzie z budżetu Gminy, oraz innych dostępnych środków.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-BoldMT" w:cs="Times New Roman" w:ascii="Calibri" w:hAnsi="Calibri" w:asciiTheme="minorHAnsi" w:hAnsiTheme="minorHAnsi"/>
          <w:bCs/>
        </w:rPr>
        <w:t xml:space="preserve">2. Gmina na realizację Programu w </w:t>
      </w:r>
      <w:r>
        <w:rPr>
          <w:rFonts w:eastAsia="TimesNewRomanPSMT" w:cs="Times New Roman" w:ascii="Calibri" w:hAnsi="Calibri" w:asciiTheme="minorHAnsi" w:hAnsiTheme="minorHAnsi"/>
        </w:rPr>
        <w:t xml:space="preserve"> roku 2021 będzie przeznaczać środki finansowe w wysokości nie mniejszej niż 80 000,00 zł.</w:t>
      </w:r>
    </w:p>
    <w:p>
      <w:pPr>
        <w:pStyle w:val="Nagwek1"/>
        <w:spacing w:lineRule="auto" w:line="360"/>
        <w:rPr>
          <w:rFonts w:ascii="Calibri" w:hAnsi="Calibri" w:eastAsia="Times New Roman" w:cs="Times New Roman" w:asciiTheme="minorHAnsi" w:hAnsiTheme="minorHAnsi"/>
          <w:bCs/>
          <w:sz w:val="24"/>
          <w:szCs w:val="24"/>
        </w:rPr>
      </w:pPr>
      <w:bookmarkStart w:id="12" w:name="_Toc464376133"/>
      <w:r>
        <w:rPr>
          <w:rFonts w:eastAsia="Times New Roman" w:cs="Times New Roman" w:ascii="Calibri" w:hAnsi="Calibri" w:asciiTheme="minorHAnsi" w:hAnsiTheme="minorHAnsi"/>
          <w:bCs/>
          <w:sz w:val="24"/>
          <w:szCs w:val="24"/>
        </w:rPr>
        <w:t>X. SPOSÓB OCENY REALIZACJI PROGRAMU</w:t>
      </w:r>
      <w:bookmarkEnd w:id="12"/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-BoldMT" w:cs="Times New Roman" w:ascii="Calibri" w:hAnsi="Calibri" w:asciiTheme="minorHAnsi" w:hAnsiTheme="minorHAnsi"/>
          <w:bCs/>
        </w:rPr>
        <w:t xml:space="preserve">§ 14. </w:t>
      </w:r>
      <w:r>
        <w:rPr>
          <w:rFonts w:eastAsia="TimesNewRomanPSMT" w:cs="Times New Roman" w:ascii="Calibri" w:hAnsi="Calibri" w:asciiTheme="minorHAnsi" w:hAnsiTheme="minorHAnsi"/>
          <w:bCs/>
        </w:rPr>
        <w:t xml:space="preserve">1. Kontrolę nad realizacja i oceną realizacji Programu sprawuje </w:t>
      </w:r>
      <w:r>
        <w:rPr>
          <w:rFonts w:eastAsia="TimesNewRomanPSMT" w:cs="Times New Roman" w:ascii="Calibri" w:hAnsi="Calibri" w:asciiTheme="minorHAnsi" w:hAnsiTheme="minorHAnsi"/>
        </w:rPr>
        <w:t>Wójt Gminy.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 New Roman" w:cs="Times New Roman" w:ascii="Calibri" w:hAnsi="Calibri" w:asciiTheme="minorHAnsi" w:hAnsiTheme="minorHAnsi"/>
          <w:bCs/>
        </w:rPr>
        <w:t>2.</w:t>
      </w:r>
      <w:r>
        <w:rPr>
          <w:rFonts w:eastAsia="Times New Roman" w:cs="Times New Roman" w:ascii="Calibri" w:hAnsi="Calibri" w:asciiTheme="minorHAnsi" w:hAnsiTheme="minorHAnsi"/>
        </w:rPr>
        <w:t xml:space="preserve"> Ustala si</w:t>
      </w:r>
      <w:r>
        <w:rPr>
          <w:rFonts w:eastAsia="TimesNewRoman" w:cs="Times New Roman" w:ascii="Calibri" w:hAnsi="Calibri" w:asciiTheme="minorHAnsi" w:hAnsiTheme="minorHAnsi"/>
        </w:rPr>
        <w:t xml:space="preserve">ę </w:t>
      </w:r>
      <w:r>
        <w:rPr>
          <w:rFonts w:eastAsia="Times New Roman" w:cs="Times New Roman" w:ascii="Calibri" w:hAnsi="Calibri" w:asciiTheme="minorHAnsi" w:hAnsiTheme="minorHAnsi"/>
        </w:rPr>
        <w:t>nast</w:t>
      </w:r>
      <w:r>
        <w:rPr>
          <w:rFonts w:eastAsia="TimesNewRoman" w:cs="Times New Roman" w:ascii="Calibri" w:hAnsi="Calibri" w:asciiTheme="minorHAnsi" w:hAnsiTheme="minorHAnsi"/>
        </w:rPr>
        <w:t>ę</w:t>
      </w:r>
      <w:r>
        <w:rPr>
          <w:rFonts w:eastAsia="Times New Roman" w:cs="Times New Roman" w:ascii="Calibri" w:hAnsi="Calibri" w:asciiTheme="minorHAnsi" w:hAnsiTheme="minorHAnsi"/>
        </w:rPr>
        <w:t>puj</w:t>
      </w:r>
      <w:r>
        <w:rPr>
          <w:rFonts w:eastAsia="TimesNewRoman" w:cs="Times New Roman" w:ascii="Calibri" w:hAnsi="Calibri" w:asciiTheme="minorHAnsi" w:hAnsiTheme="minorHAnsi"/>
        </w:rPr>
        <w:t>ą</w:t>
      </w:r>
      <w:r>
        <w:rPr>
          <w:rFonts w:eastAsia="Times New Roman" w:cs="Times New Roman" w:ascii="Calibri" w:hAnsi="Calibri" w:asciiTheme="minorHAnsi" w:hAnsiTheme="minorHAnsi"/>
        </w:rPr>
        <w:t>ce wska</w:t>
      </w:r>
      <w:r>
        <w:rPr>
          <w:rFonts w:eastAsia="TimesNewRoman" w:cs="Times New Roman" w:ascii="Calibri" w:hAnsi="Calibri" w:asciiTheme="minorHAnsi" w:hAnsiTheme="minorHAnsi"/>
        </w:rPr>
        <w:t>ź</w:t>
      </w:r>
      <w:r>
        <w:rPr>
          <w:rFonts w:eastAsia="Times New Roman" w:cs="Times New Roman" w:ascii="Calibri" w:hAnsi="Calibri" w:asciiTheme="minorHAnsi" w:hAnsiTheme="minorHAnsi"/>
        </w:rPr>
        <w:t>niki niezb</w:t>
      </w:r>
      <w:r>
        <w:rPr>
          <w:rFonts w:eastAsia="TimesNewRoman" w:cs="Times New Roman" w:ascii="Calibri" w:hAnsi="Calibri" w:asciiTheme="minorHAnsi" w:hAnsiTheme="minorHAnsi"/>
        </w:rPr>
        <w:t>ę</w:t>
      </w:r>
      <w:r>
        <w:rPr>
          <w:rFonts w:eastAsia="Times New Roman" w:cs="Times New Roman" w:ascii="Calibri" w:hAnsi="Calibri" w:asciiTheme="minorHAnsi" w:hAnsiTheme="minorHAnsi"/>
        </w:rPr>
        <w:t>dne do oceny rocznego programu współpracy: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 New Roman" w:cs="Times New Roman" w:ascii="Calibri" w:hAnsi="Calibri" w:asciiTheme="minorHAnsi" w:hAnsiTheme="minorHAnsi"/>
          <w:bCs/>
        </w:rPr>
        <w:t>1)</w:t>
      </w:r>
      <w:r>
        <w:rPr>
          <w:rFonts w:eastAsia="Times New Roman" w:cs="Times New Roman" w:ascii="Calibri" w:hAnsi="Calibri" w:asciiTheme="minorHAnsi" w:hAnsiTheme="minorHAnsi"/>
        </w:rPr>
        <w:t xml:space="preserve"> liczba ogłoszonych otwartych konkursów ofert,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 New Roman" w:cs="Times New Roman" w:ascii="Calibri" w:hAnsi="Calibri" w:asciiTheme="minorHAnsi" w:hAnsiTheme="minorHAnsi"/>
          <w:bCs/>
        </w:rPr>
        <w:t>2)</w:t>
      </w:r>
      <w:r>
        <w:rPr>
          <w:rFonts w:eastAsia="Times New Roman" w:cs="Times New Roman" w:ascii="Calibri" w:hAnsi="Calibri" w:asciiTheme="minorHAnsi" w:hAnsiTheme="minorHAnsi"/>
        </w:rPr>
        <w:t xml:space="preserve"> liczba ofert zło</w:t>
      </w:r>
      <w:r>
        <w:rPr>
          <w:rFonts w:eastAsia="TimesNewRoman" w:cs="Times New Roman" w:ascii="Calibri" w:hAnsi="Calibri" w:asciiTheme="minorHAnsi" w:hAnsiTheme="minorHAnsi"/>
        </w:rPr>
        <w:t>ż</w:t>
      </w:r>
      <w:r>
        <w:rPr>
          <w:rFonts w:eastAsia="Times New Roman" w:cs="Times New Roman" w:ascii="Calibri" w:hAnsi="Calibri" w:asciiTheme="minorHAnsi" w:hAnsiTheme="minorHAnsi"/>
        </w:rPr>
        <w:t>onych w otwartych konkursach ofert, w tym liczba organizacji,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 New Roman" w:cs="Times New Roman" w:ascii="Calibri" w:hAnsi="Calibri" w:asciiTheme="minorHAnsi" w:hAnsiTheme="minorHAnsi"/>
          <w:bCs/>
        </w:rPr>
        <w:t xml:space="preserve">3) </w:t>
      </w:r>
      <w:r>
        <w:rPr>
          <w:rFonts w:eastAsia="Times New Roman" w:cs="Times New Roman" w:ascii="Calibri" w:hAnsi="Calibri" w:asciiTheme="minorHAnsi" w:hAnsiTheme="minorHAnsi"/>
        </w:rPr>
        <w:t>liczba zawartych umów na realizacj</w:t>
      </w:r>
      <w:r>
        <w:rPr>
          <w:rFonts w:eastAsia="TimesNewRoman" w:cs="Times New Roman" w:ascii="Calibri" w:hAnsi="Calibri" w:asciiTheme="minorHAnsi" w:hAnsiTheme="minorHAnsi"/>
        </w:rPr>
        <w:t xml:space="preserve">ę </w:t>
      </w:r>
      <w:r>
        <w:rPr>
          <w:rFonts w:eastAsia="Times New Roman" w:cs="Times New Roman" w:ascii="Calibri" w:hAnsi="Calibri" w:asciiTheme="minorHAnsi" w:hAnsiTheme="minorHAnsi"/>
        </w:rPr>
        <w:t>zadania publicznego, w tym liczba organizacji,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 New Roman" w:cs="Times New Roman" w:ascii="Calibri" w:hAnsi="Calibri" w:asciiTheme="minorHAnsi" w:hAnsiTheme="minorHAnsi"/>
          <w:bCs/>
        </w:rPr>
        <w:t>4)</w:t>
      </w:r>
      <w:r>
        <w:rPr>
          <w:rFonts w:eastAsia="Times New Roman" w:cs="Times New Roman" w:ascii="Calibri" w:hAnsi="Calibri" w:asciiTheme="minorHAnsi" w:hAnsiTheme="minorHAnsi"/>
        </w:rPr>
        <w:t xml:space="preserve"> liczba umów, które nie zostały zrealizowane lub zostały rozwi</w:t>
      </w:r>
      <w:r>
        <w:rPr>
          <w:rFonts w:eastAsia="TimesNewRoman" w:cs="Times New Roman" w:ascii="Calibri" w:hAnsi="Calibri" w:asciiTheme="minorHAnsi" w:hAnsiTheme="minorHAnsi"/>
        </w:rPr>
        <w:t>ą</w:t>
      </w:r>
      <w:r>
        <w:rPr>
          <w:rFonts w:eastAsia="Times New Roman" w:cs="Times New Roman" w:ascii="Calibri" w:hAnsi="Calibri" w:asciiTheme="minorHAnsi" w:hAnsiTheme="minorHAnsi"/>
        </w:rPr>
        <w:t>zane przez Gminę  z przyczyn zale</w:t>
      </w:r>
      <w:r>
        <w:rPr>
          <w:rFonts w:eastAsia="TimesNewRoman" w:cs="Times New Roman" w:ascii="Calibri" w:hAnsi="Calibri" w:asciiTheme="minorHAnsi" w:hAnsiTheme="minorHAnsi"/>
        </w:rPr>
        <w:t>ż</w:t>
      </w:r>
      <w:r>
        <w:rPr>
          <w:rFonts w:eastAsia="Times New Roman" w:cs="Times New Roman" w:ascii="Calibri" w:hAnsi="Calibri" w:asciiTheme="minorHAnsi" w:hAnsiTheme="minorHAnsi"/>
        </w:rPr>
        <w:t>nych od organizacji,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 New Roman" w:cs="Times New Roman" w:ascii="Calibri" w:hAnsi="Calibri" w:asciiTheme="minorHAnsi" w:hAnsiTheme="minorHAnsi"/>
          <w:bCs/>
        </w:rPr>
        <w:t>5)</w:t>
      </w:r>
      <w:r>
        <w:rPr>
          <w:rFonts w:eastAsia="Times New Roman" w:cs="Times New Roman" w:ascii="Calibri" w:hAnsi="Calibri" w:asciiTheme="minorHAnsi" w:hAnsiTheme="minorHAnsi"/>
        </w:rPr>
        <w:t xml:space="preserve"> wysoko</w:t>
      </w:r>
      <w:r>
        <w:rPr>
          <w:rFonts w:eastAsia="TimesNewRoman" w:cs="Times New Roman" w:ascii="Calibri" w:hAnsi="Calibri" w:asciiTheme="minorHAnsi" w:hAnsiTheme="minorHAnsi"/>
        </w:rPr>
        <w:t xml:space="preserve">ść </w:t>
      </w:r>
      <w:r>
        <w:rPr>
          <w:rFonts w:eastAsia="Times New Roman" w:cs="Times New Roman" w:ascii="Calibri" w:hAnsi="Calibri" w:asciiTheme="minorHAnsi" w:hAnsiTheme="minorHAnsi"/>
        </w:rPr>
        <w:t>kwot udzielonych dotacji w poszczególnych obszarach,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 New Roman" w:cs="Times New Roman" w:ascii="Calibri" w:hAnsi="Calibri" w:asciiTheme="minorHAnsi" w:hAnsiTheme="minorHAnsi"/>
          <w:bCs/>
        </w:rPr>
        <w:t>6)</w:t>
      </w:r>
      <w:r>
        <w:rPr>
          <w:rFonts w:eastAsia="Times New Roman" w:cs="Times New Roman" w:ascii="Calibri" w:hAnsi="Calibri" w:asciiTheme="minorHAnsi" w:hAnsiTheme="minorHAnsi"/>
        </w:rPr>
        <w:t xml:space="preserve"> liczba ofert wspólnych zło</w:t>
      </w:r>
      <w:r>
        <w:rPr>
          <w:rFonts w:eastAsia="TimesNewRoman" w:cs="Times New Roman" w:ascii="Calibri" w:hAnsi="Calibri" w:asciiTheme="minorHAnsi" w:hAnsiTheme="minorHAnsi"/>
        </w:rPr>
        <w:t>ż</w:t>
      </w:r>
      <w:r>
        <w:rPr>
          <w:rFonts w:eastAsia="Times New Roman" w:cs="Times New Roman" w:ascii="Calibri" w:hAnsi="Calibri" w:asciiTheme="minorHAnsi" w:hAnsiTheme="minorHAnsi"/>
        </w:rPr>
        <w:t>onych przez organizacje.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 New Roman" w:cs="Times New Roman" w:ascii="Calibri" w:hAnsi="Calibri" w:asciiTheme="minorHAnsi" w:hAnsiTheme="minorHAnsi"/>
          <w:bCs/>
        </w:rPr>
        <w:t xml:space="preserve">3. </w:t>
      </w:r>
      <w:r>
        <w:rPr>
          <w:rFonts w:eastAsia="Times New Roman" w:cs="Times New Roman" w:ascii="Calibri" w:hAnsi="Calibri" w:asciiTheme="minorHAnsi" w:hAnsiTheme="minorHAnsi"/>
        </w:rPr>
        <w:t>Baz</w:t>
      </w:r>
      <w:r>
        <w:rPr>
          <w:rFonts w:eastAsia="TimesNewRoman" w:cs="Times New Roman" w:ascii="Calibri" w:hAnsi="Calibri" w:asciiTheme="minorHAnsi" w:hAnsiTheme="minorHAnsi"/>
        </w:rPr>
        <w:t xml:space="preserve">ę </w:t>
      </w:r>
      <w:r>
        <w:rPr>
          <w:rFonts w:eastAsia="Times New Roman" w:cs="Times New Roman" w:ascii="Calibri" w:hAnsi="Calibri" w:asciiTheme="minorHAnsi" w:hAnsiTheme="minorHAnsi"/>
        </w:rPr>
        <w:t>wyj</w:t>
      </w:r>
      <w:r>
        <w:rPr>
          <w:rFonts w:eastAsia="TimesNewRoman" w:cs="Times New Roman" w:ascii="Calibri" w:hAnsi="Calibri" w:asciiTheme="minorHAnsi" w:hAnsiTheme="minorHAnsi"/>
        </w:rPr>
        <w:t>ś</w:t>
      </w:r>
      <w:r>
        <w:rPr>
          <w:rFonts w:eastAsia="Times New Roman" w:cs="Times New Roman" w:ascii="Calibri" w:hAnsi="Calibri" w:asciiTheme="minorHAnsi" w:hAnsiTheme="minorHAnsi"/>
        </w:rPr>
        <w:t>ciow</w:t>
      </w:r>
      <w:r>
        <w:rPr>
          <w:rFonts w:eastAsia="TimesNewRoman" w:cs="Times New Roman" w:ascii="Calibri" w:hAnsi="Calibri" w:asciiTheme="minorHAnsi" w:hAnsiTheme="minorHAnsi"/>
        </w:rPr>
        <w:t xml:space="preserve">ą </w:t>
      </w:r>
      <w:r>
        <w:rPr>
          <w:rFonts w:eastAsia="Times New Roman" w:cs="Times New Roman" w:ascii="Calibri" w:hAnsi="Calibri" w:asciiTheme="minorHAnsi" w:hAnsiTheme="minorHAnsi"/>
        </w:rPr>
        <w:t>do oceny stanowi</w:t>
      </w:r>
      <w:r>
        <w:rPr>
          <w:rFonts w:eastAsia="TimesNewRoman" w:cs="Times New Roman" w:ascii="Calibri" w:hAnsi="Calibri" w:asciiTheme="minorHAnsi" w:hAnsiTheme="minorHAnsi"/>
        </w:rPr>
        <w:t xml:space="preserve">ć </w:t>
      </w:r>
      <w:r>
        <w:rPr>
          <w:rFonts w:eastAsia="Times New Roman" w:cs="Times New Roman" w:ascii="Calibri" w:hAnsi="Calibri" w:asciiTheme="minorHAnsi" w:hAnsiTheme="minorHAnsi"/>
        </w:rPr>
        <w:t>b</w:t>
      </w:r>
      <w:r>
        <w:rPr>
          <w:rFonts w:eastAsia="TimesNewRoman" w:cs="Times New Roman" w:ascii="Calibri" w:hAnsi="Calibri" w:asciiTheme="minorHAnsi" w:hAnsiTheme="minorHAnsi"/>
        </w:rPr>
        <w:t>ę</w:t>
      </w:r>
      <w:r>
        <w:rPr>
          <w:rFonts w:eastAsia="Times New Roman" w:cs="Times New Roman" w:ascii="Calibri" w:hAnsi="Calibri" w:asciiTheme="minorHAnsi" w:hAnsiTheme="minorHAnsi"/>
        </w:rPr>
        <w:t>dzie poziom w/w wska</w:t>
      </w:r>
      <w:r>
        <w:rPr>
          <w:rFonts w:eastAsia="TimesNewRoman" w:cs="Times New Roman" w:ascii="Calibri" w:hAnsi="Calibri" w:asciiTheme="minorHAnsi" w:hAnsiTheme="minorHAnsi"/>
        </w:rPr>
        <w:t>ź</w:t>
      </w:r>
      <w:r>
        <w:rPr>
          <w:rFonts w:eastAsia="Times New Roman" w:cs="Times New Roman" w:ascii="Calibri" w:hAnsi="Calibri" w:asciiTheme="minorHAnsi" w:hAnsiTheme="minorHAnsi"/>
        </w:rPr>
        <w:t>ników za rok 2020.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 New Roman" w:cs="Times New Roman" w:ascii="Calibri" w:hAnsi="Calibri" w:asciiTheme="minorHAnsi" w:hAnsiTheme="minorHAnsi"/>
          <w:bCs/>
        </w:rPr>
        <w:t xml:space="preserve">1. </w:t>
      </w:r>
      <w:r>
        <w:rPr>
          <w:rFonts w:eastAsia="TimesNewRomanPSMT" w:cs="Times New Roman" w:ascii="Calibri" w:hAnsi="Calibri" w:asciiTheme="minorHAnsi" w:hAnsiTheme="minorHAnsi"/>
        </w:rPr>
        <w:t>Uwagi, wnioski i propozycje dotyczące bieżącej realizacji Programu mogą być zgłaszane</w:t>
      </w:r>
      <w:r>
        <w:rPr>
          <w:rFonts w:eastAsia="Times New Roman" w:cs="Times New Roman" w:ascii="Calibri" w:hAnsi="Calibri" w:asciiTheme="minorHAnsi" w:hAnsiTheme="minorHAnsi"/>
        </w:rPr>
        <w:t xml:space="preserve"> </w:t>
      </w:r>
      <w:r>
        <w:rPr>
          <w:rFonts w:eastAsia="TimesNewRomanPSMT" w:cs="Times New Roman" w:ascii="Calibri" w:hAnsi="Calibri" w:asciiTheme="minorHAnsi" w:hAnsiTheme="minorHAnsi"/>
        </w:rPr>
        <w:t>Wójtowi Gminy na piśmie.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 xml:space="preserve">2. </w:t>
      </w:r>
      <w:r>
        <w:rPr>
          <w:rFonts w:eastAsia="TimesNewRomanPSMT" w:cs="Times New Roman" w:ascii="Calibri" w:hAnsi="Calibri" w:asciiTheme="minorHAnsi" w:hAnsiTheme="minorHAnsi"/>
        </w:rPr>
        <w:t xml:space="preserve">Wójt Gminy, nie później niż do 31 maja 2021 roku przedłoży Radzie Gminy sprawozdanie z realizacji </w:t>
      </w:r>
      <w:r>
        <w:rPr>
          <w:rFonts w:eastAsia="Times New Roman" w:cs="Times New Roman" w:ascii="Calibri" w:hAnsi="Calibri" w:asciiTheme="minorHAnsi" w:hAnsiTheme="minorHAnsi"/>
        </w:rPr>
        <w:t>rocznego programu współpracy za poprzedni rok oraz opublikuje je w Biuletynie Informacji Publicznej.</w:t>
      </w:r>
    </w:p>
    <w:p>
      <w:pPr>
        <w:pStyle w:val="Nagwek1"/>
        <w:spacing w:lineRule="auto" w:line="360"/>
        <w:rPr>
          <w:rFonts w:ascii="Calibri" w:hAnsi="Calibri" w:eastAsia="Times New Roman" w:cs="Times New Roman" w:asciiTheme="minorHAnsi" w:hAnsiTheme="minorHAnsi"/>
          <w:bCs/>
          <w:sz w:val="24"/>
          <w:szCs w:val="24"/>
        </w:rPr>
      </w:pPr>
      <w:bookmarkStart w:id="13" w:name="_Toc464376134"/>
      <w:r>
        <w:rPr>
          <w:rFonts w:eastAsia="Times New Roman" w:cs="Times New Roman" w:ascii="Calibri" w:hAnsi="Calibri" w:asciiTheme="minorHAnsi" w:hAnsiTheme="minorHAnsi"/>
          <w:bCs/>
          <w:sz w:val="24"/>
          <w:szCs w:val="24"/>
        </w:rPr>
        <w:t>XI. INFORMACJA O SPOSOBIE TWORZENIA PROGRAMU ORAZ O PRZEBIEGU KONSULTACJI</w:t>
      </w:r>
      <w:bookmarkEnd w:id="13"/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-BoldMT" w:cs="Times New Roman" w:ascii="Calibri" w:hAnsi="Calibri" w:asciiTheme="minorHAnsi" w:hAnsiTheme="minorHAnsi"/>
          <w:bCs/>
        </w:rPr>
        <w:t>§ 15.</w:t>
      </w:r>
      <w:r>
        <w:rPr>
          <w:rFonts w:eastAsia="Times New Roman" w:cs="Times New Roman" w:ascii="Calibri" w:hAnsi="Calibri" w:asciiTheme="minorHAnsi" w:hAnsiTheme="minorHAnsi"/>
        </w:rPr>
        <w:t>1. Prace nad przygotowaniem rocznego programu współpracy zostały wykonane w Referacie Oświaty i Spraw Społecznych.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 New Roman" w:cs="Times New Roman" w:ascii="Calibri" w:hAnsi="Calibri" w:asciiTheme="minorHAnsi" w:hAnsiTheme="minorHAnsi"/>
        </w:rPr>
        <w:t>2. Harmonogram prac nad przygotowaniem Programu przebiegał w sposób  nast</w:t>
      </w:r>
      <w:r>
        <w:rPr>
          <w:rFonts w:eastAsia="TimesNewRoman" w:cs="Times New Roman" w:ascii="Calibri" w:hAnsi="Calibri" w:asciiTheme="minorHAnsi" w:hAnsiTheme="minorHAnsi"/>
        </w:rPr>
        <w:t>ę</w:t>
      </w:r>
      <w:r>
        <w:rPr>
          <w:rFonts w:eastAsia="Times New Roman" w:cs="Times New Roman" w:ascii="Calibri" w:hAnsi="Calibri" w:asciiTheme="minorHAnsi" w:hAnsiTheme="minorHAnsi"/>
        </w:rPr>
        <w:t>puj</w:t>
      </w:r>
      <w:r>
        <w:rPr>
          <w:rFonts w:eastAsia="TimesNewRoman" w:cs="Times New Roman" w:ascii="Calibri" w:hAnsi="Calibri" w:asciiTheme="minorHAnsi" w:hAnsiTheme="minorHAnsi"/>
        </w:rPr>
        <w:t>ą</w:t>
      </w:r>
      <w:r>
        <w:rPr>
          <w:rFonts w:eastAsia="Times New Roman" w:cs="Times New Roman" w:ascii="Calibri" w:hAnsi="Calibri" w:asciiTheme="minorHAnsi" w:hAnsiTheme="minorHAnsi"/>
        </w:rPr>
        <w:t>cy: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 New Roman" w:cs="Times New Roman" w:ascii="Calibri" w:hAnsi="Calibri" w:asciiTheme="minorHAnsi" w:hAnsiTheme="minorHAnsi"/>
        </w:rPr>
        <w:t>1) zbieranie propozycji zada</w:t>
      </w:r>
      <w:r>
        <w:rPr>
          <w:rFonts w:eastAsia="TimesNewRoman" w:cs="Times New Roman" w:ascii="Calibri" w:hAnsi="Calibri" w:asciiTheme="minorHAnsi" w:hAnsiTheme="minorHAnsi"/>
        </w:rPr>
        <w:t xml:space="preserve">ń </w:t>
      </w:r>
      <w:r>
        <w:rPr>
          <w:rFonts w:eastAsia="Times New Roman" w:cs="Times New Roman" w:ascii="Calibri" w:hAnsi="Calibri" w:asciiTheme="minorHAnsi" w:hAnsiTheme="minorHAnsi"/>
        </w:rPr>
        <w:t>oraz wniosków dotycz</w:t>
      </w:r>
      <w:r>
        <w:rPr>
          <w:rFonts w:eastAsia="TimesNewRoman" w:cs="Times New Roman" w:ascii="Calibri" w:hAnsi="Calibri" w:asciiTheme="minorHAnsi" w:hAnsiTheme="minorHAnsi"/>
        </w:rPr>
        <w:t>ą</w:t>
      </w:r>
      <w:r>
        <w:rPr>
          <w:rFonts w:eastAsia="Times New Roman" w:cs="Times New Roman" w:ascii="Calibri" w:hAnsi="Calibri" w:asciiTheme="minorHAnsi" w:hAnsiTheme="minorHAnsi"/>
        </w:rPr>
        <w:t>cych Programu (do 14 października 2020 r.),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 New Roman" w:cs="Times New Roman" w:ascii="Calibri" w:hAnsi="Calibri" w:asciiTheme="minorHAnsi" w:hAnsiTheme="minorHAnsi"/>
        </w:rPr>
        <w:t>2) opracowanie projektu  Programu (do 26 pa</w:t>
      </w:r>
      <w:r>
        <w:rPr>
          <w:rFonts w:eastAsia="TimesNewRoman" w:cs="Times New Roman" w:ascii="Calibri" w:hAnsi="Calibri" w:asciiTheme="minorHAnsi" w:hAnsiTheme="minorHAnsi"/>
        </w:rPr>
        <w:t>ź</w:t>
      </w:r>
      <w:r>
        <w:rPr>
          <w:rFonts w:eastAsia="Times New Roman" w:cs="Times New Roman" w:ascii="Calibri" w:hAnsi="Calibri" w:asciiTheme="minorHAnsi" w:hAnsiTheme="minorHAnsi"/>
        </w:rPr>
        <w:t>dziernika 2020 r.),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 New Roman" w:cs="Times New Roman" w:ascii="Calibri" w:hAnsi="Calibri" w:asciiTheme="minorHAnsi" w:hAnsiTheme="minorHAnsi"/>
        </w:rPr>
        <w:t>3) przeprowadzenie konsultacji projektu Programu  poprzez udostępnienie go na stronie internetowej Gminy Nowa Ruda (od 26 października do 12 listopada 2020 r.),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 New Roman" w:cs="Times New Roman" w:ascii="Calibri" w:hAnsi="Calibri" w:asciiTheme="minorHAnsi" w:hAnsiTheme="minorHAnsi"/>
        </w:rPr>
        <w:t>4) przedło</w:t>
      </w:r>
      <w:r>
        <w:rPr>
          <w:rFonts w:eastAsia="TimesNewRoman" w:cs="Times New Roman" w:ascii="Calibri" w:hAnsi="Calibri" w:asciiTheme="minorHAnsi" w:hAnsiTheme="minorHAnsi"/>
        </w:rPr>
        <w:t>ż</w:t>
      </w:r>
      <w:r>
        <w:rPr>
          <w:rFonts w:eastAsia="Times New Roman" w:cs="Times New Roman" w:ascii="Calibri" w:hAnsi="Calibri" w:asciiTheme="minorHAnsi" w:hAnsiTheme="minorHAnsi"/>
        </w:rPr>
        <w:t>enie projektu Programu do komisji rady gminy (do 20 listopada 2020 r.).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 New Roman" w:cs="Times New Roman" w:ascii="Calibri" w:hAnsi="Calibri" w:asciiTheme="minorHAnsi" w:hAnsiTheme="minorHAnsi"/>
        </w:rPr>
        <w:t>3. P</w:t>
      </w:r>
      <w:r>
        <w:rPr>
          <w:rFonts w:eastAsia="TimesNewRomanPSMT" w:cs="Times New Roman" w:ascii="Calibri" w:hAnsi="Calibri" w:asciiTheme="minorHAnsi" w:hAnsiTheme="minorHAnsi"/>
        </w:rPr>
        <w:t>rojekt poddany został konsultacjom na zasadach</w:t>
      </w:r>
      <w:r>
        <w:rPr>
          <w:rFonts w:eastAsia="TimesNewRomanPS-BoldMT" w:cs="Times New Roman" w:ascii="Calibri" w:hAnsi="Calibri" w:asciiTheme="minorHAnsi" w:hAnsiTheme="minorHAnsi"/>
          <w:bCs/>
        </w:rPr>
        <w:t xml:space="preserve"> </w:t>
      </w:r>
      <w:r>
        <w:rPr>
          <w:rFonts w:eastAsia="TimesNewRomanPSMT" w:cs="Times New Roman" w:ascii="Calibri" w:hAnsi="Calibri" w:asciiTheme="minorHAnsi" w:hAnsiTheme="minorHAnsi"/>
        </w:rPr>
        <w:t>określonych w zarządzeniu Wójta oraz uchwale Rady Gminy Nowa Ruda w sprawie określenia</w:t>
      </w:r>
      <w:r>
        <w:rPr>
          <w:rFonts w:eastAsia="TimesNewRomanPS-BoldMT" w:cs="Times New Roman" w:ascii="Calibri" w:hAnsi="Calibri" w:asciiTheme="minorHAnsi" w:hAnsiTheme="minorHAnsi"/>
          <w:bCs/>
        </w:rPr>
        <w:t xml:space="preserve"> </w:t>
      </w:r>
      <w:r>
        <w:rPr>
          <w:rFonts w:eastAsia="TimesNewRomanPSMT" w:cs="Times New Roman" w:ascii="Calibri" w:hAnsi="Calibri" w:asciiTheme="minorHAnsi" w:hAnsiTheme="minorHAnsi"/>
        </w:rPr>
        <w:t>szczegółowego sposobu konsultowania z gminną radą pożytku publicznego lub organizacjami</w:t>
      </w:r>
      <w:r>
        <w:rPr>
          <w:rFonts w:eastAsia="TimesNewRomanPS-BoldMT" w:cs="Times New Roman" w:ascii="Calibri" w:hAnsi="Calibri" w:asciiTheme="minorHAnsi" w:hAnsiTheme="minorHAnsi"/>
          <w:bCs/>
        </w:rPr>
        <w:t xml:space="preserve"> </w:t>
      </w:r>
      <w:r>
        <w:rPr>
          <w:rFonts w:eastAsia="TimesNewRomanPSMT" w:cs="Times New Roman" w:ascii="Calibri" w:hAnsi="Calibri" w:asciiTheme="minorHAnsi" w:hAnsiTheme="minorHAnsi"/>
        </w:rPr>
        <w:t>pozarządowymi i podmiotami wymienionymi w art. ust 3 ustawy z dnia 24 kwietnia 2003 r.</w:t>
      </w:r>
      <w:r>
        <w:rPr>
          <w:rFonts w:eastAsia="TimesNewRomanPS-BoldMT" w:cs="Times New Roman" w:ascii="Calibri" w:hAnsi="Calibri" w:asciiTheme="minorHAnsi" w:hAnsiTheme="minorHAnsi"/>
          <w:bCs/>
        </w:rPr>
        <w:t xml:space="preserve"> </w:t>
      </w:r>
      <w:r>
        <w:rPr>
          <w:rFonts w:eastAsia="TimesNewRomanPSMT" w:cs="Times New Roman" w:ascii="Calibri" w:hAnsi="Calibri" w:asciiTheme="minorHAnsi" w:hAnsiTheme="minorHAnsi"/>
        </w:rPr>
        <w:t>o działalności pożytku publicznego i o wolontariacie, projektów aktów prawa miejscowego</w:t>
      </w:r>
      <w:r>
        <w:rPr>
          <w:rFonts w:eastAsia="TimesNewRomanPS-BoldMT" w:cs="Times New Roman" w:ascii="Calibri" w:hAnsi="Calibri" w:asciiTheme="minorHAnsi" w:hAnsiTheme="minorHAnsi"/>
          <w:bCs/>
        </w:rPr>
        <w:t xml:space="preserve"> </w:t>
      </w:r>
      <w:r>
        <w:rPr>
          <w:rFonts w:eastAsia="TimesNewRomanPSMT" w:cs="Times New Roman" w:ascii="Calibri" w:hAnsi="Calibri" w:asciiTheme="minorHAnsi" w:hAnsiTheme="minorHAnsi"/>
        </w:rPr>
        <w:t>w dziedzinach dotyczących działalności statutowej tych organizacji.</w:t>
      </w:r>
    </w:p>
    <w:p>
      <w:pPr>
        <w:pStyle w:val="Standard"/>
        <w:spacing w:lineRule="auto" w:line="360"/>
        <w:rPr>
          <w:rFonts w:ascii="Calibri" w:hAnsi="Calibri" w:eastAsia="Times New Roman" w:cs="Times New Roman" w:asciiTheme="minorHAnsi" w:hAnsiTheme="minorHAnsi"/>
        </w:rPr>
      </w:pPr>
      <w:r>
        <w:rPr>
          <w:rFonts w:eastAsia="Times New Roman" w:cs="Times New Roman" w:ascii="Calibri" w:hAnsi="Calibri" w:asciiTheme="minorHAnsi" w:hAnsiTheme="minorHAnsi"/>
        </w:rPr>
        <w:t>4. W trakcie trwania konsultacji nie zgłoszono wniosków do Programu.</w:t>
      </w:r>
    </w:p>
    <w:p>
      <w:pPr>
        <w:pStyle w:val="Standard"/>
        <w:spacing w:lineRule="auto" w:line="360"/>
        <w:rPr>
          <w:rFonts w:ascii="Calibri" w:hAnsi="Calibri" w:eastAsia="Times New Roman" w:cs="Times New Roman" w:asciiTheme="minorHAnsi" w:hAnsiTheme="minorHAnsi"/>
        </w:rPr>
      </w:pPr>
      <w:r>
        <w:rPr>
          <w:rFonts w:eastAsia="Times New Roman" w:cs="Times New Roman" w:ascii="Calibri" w:hAnsi="Calibri" w:asciiTheme="minorHAnsi" w:hAnsiTheme="minorHAnsi"/>
        </w:rPr>
        <w:t>5. Roczny program współpracy, po uchwaleniu przez Rad</w:t>
      </w:r>
      <w:r>
        <w:rPr>
          <w:rFonts w:eastAsia="TimesNewRoman" w:cs="Times New Roman" w:ascii="Calibri" w:hAnsi="Calibri" w:asciiTheme="minorHAnsi" w:hAnsiTheme="minorHAnsi"/>
        </w:rPr>
        <w:t>ę Gminy</w:t>
      </w:r>
      <w:r>
        <w:rPr>
          <w:rFonts w:eastAsia="Times New Roman" w:cs="Times New Roman" w:ascii="Calibri" w:hAnsi="Calibri" w:asciiTheme="minorHAnsi" w:hAnsiTheme="minorHAnsi"/>
        </w:rPr>
        <w:t>, zostanie zamieszczony na stronie internetowej Gminy Nowa Ruda i w Biuletynie Informacji Publicznej.</w:t>
      </w:r>
    </w:p>
    <w:p>
      <w:pPr>
        <w:pStyle w:val="Nagwek1"/>
        <w:spacing w:lineRule="auto" w:line="360"/>
        <w:rPr>
          <w:rFonts w:ascii="Calibri" w:hAnsi="Calibri" w:eastAsia="Times New Roman" w:cs="Times New Roman" w:asciiTheme="minorHAnsi" w:hAnsiTheme="minorHAnsi"/>
          <w:bCs/>
          <w:sz w:val="24"/>
          <w:szCs w:val="24"/>
        </w:rPr>
      </w:pPr>
      <w:bookmarkStart w:id="14" w:name="_Toc464376135"/>
      <w:r>
        <w:rPr>
          <w:rFonts w:eastAsia="Times New Roman" w:cs="Times New Roman" w:ascii="Calibri" w:hAnsi="Calibri" w:asciiTheme="minorHAnsi" w:hAnsiTheme="minorHAnsi"/>
          <w:bCs/>
          <w:sz w:val="24"/>
          <w:szCs w:val="24"/>
        </w:rPr>
        <w:t>XII. TRYB POWOŁANIA I ZASADY DZIAŁANIA KOMISJI KONKURSOWYCH DO OPINIOWANIA OFERT W OTWARTYCH KONKURSACH OFERT</w:t>
      </w:r>
      <w:bookmarkEnd w:id="14"/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-BoldMT" w:cs="Times New Roman" w:ascii="Calibri" w:hAnsi="Calibri" w:asciiTheme="minorHAnsi" w:hAnsiTheme="minorHAnsi"/>
          <w:bCs/>
        </w:rPr>
        <w:t>§ 16.</w:t>
      </w:r>
      <w:r>
        <w:rPr>
          <w:rFonts w:eastAsia="TimesNewRomanPSMT" w:cs="Times New Roman" w:ascii="Calibri" w:hAnsi="Calibri" w:asciiTheme="minorHAnsi" w:hAnsiTheme="minorHAnsi"/>
          <w:bCs/>
        </w:rPr>
        <w:t>1.</w:t>
      </w:r>
      <w:r>
        <w:rPr>
          <w:rFonts w:eastAsia="TimesNewRomanPSMT" w:cs="Times New Roman" w:ascii="Calibri" w:hAnsi="Calibri" w:asciiTheme="minorHAnsi" w:hAnsiTheme="minorHAnsi"/>
        </w:rPr>
        <w:t xml:space="preserve"> Otwarty konkurs ofert na powierzenie lub wsparcie realizacji zadań publicznych ogłasza zarządzeniem Wójt Gminy.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2.</w:t>
      </w:r>
      <w:r>
        <w:rPr>
          <w:rFonts w:eastAsia="TimesNewRomanPSMT" w:cs="Times New Roman" w:ascii="Calibri" w:hAnsi="Calibri" w:asciiTheme="minorHAnsi" w:hAnsiTheme="minorHAnsi"/>
        </w:rPr>
        <w:t xml:space="preserve"> W celu zaopiniowania ofert złożonych w konkursach, Wójt Gminy zarządzeniem powołuje komisję konkursową.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3.</w:t>
      </w:r>
      <w:r>
        <w:rPr>
          <w:rFonts w:eastAsia="TimesNewRomanPSMT" w:cs="Times New Roman" w:ascii="Calibri" w:hAnsi="Calibri" w:asciiTheme="minorHAnsi" w:hAnsiTheme="minorHAnsi"/>
        </w:rPr>
        <w:t xml:space="preserve"> Pracami komisji konkursowej kieruje przewodniczący, a w przypadku jego nieobecności zastępca.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 xml:space="preserve">4. </w:t>
      </w:r>
      <w:r>
        <w:rPr>
          <w:rFonts w:eastAsia="TimesNewRomanPSMT" w:cs="Times New Roman" w:ascii="Calibri" w:hAnsi="Calibri" w:asciiTheme="minorHAnsi" w:hAnsiTheme="minorHAnsi"/>
        </w:rPr>
        <w:t>Organizacje pozarządowe i inne podmioty zgłaszają swoich przedstawicieli, będących kandydatami do składu komisji konkursowej.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 xml:space="preserve">5. </w:t>
      </w:r>
      <w:r>
        <w:rPr>
          <w:rFonts w:eastAsia="TimesNewRomanPSMT" w:cs="Times New Roman" w:ascii="Calibri" w:hAnsi="Calibri" w:asciiTheme="minorHAnsi" w:hAnsiTheme="minorHAnsi"/>
        </w:rPr>
        <w:t>Do zadań komisji konkursowej należy: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 xml:space="preserve">1) </w:t>
      </w:r>
      <w:r>
        <w:rPr>
          <w:rFonts w:eastAsia="TimesNewRomanPSMT" w:cs="Times New Roman" w:ascii="Calibri" w:hAnsi="Calibri" w:asciiTheme="minorHAnsi" w:hAnsiTheme="minorHAnsi"/>
        </w:rPr>
        <w:t>ocena ofert pod względem formalnym tj. poprawności wypełnienia ofert i kompletności załączników;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2)</w:t>
      </w:r>
      <w:r>
        <w:rPr>
          <w:rFonts w:eastAsia="TimesNewRomanPSMT" w:cs="Times New Roman" w:ascii="Calibri" w:hAnsi="Calibri" w:asciiTheme="minorHAnsi" w:hAnsiTheme="minorHAnsi"/>
        </w:rPr>
        <w:t xml:space="preserve"> ocena ofert pod względem merytorycznym z uwzględnieniem kryteriów określonych w treści ogłoszenia konkursowego;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3)</w:t>
      </w:r>
      <w:r>
        <w:rPr>
          <w:rFonts w:eastAsia="TimesNewRomanPSMT" w:cs="Times New Roman" w:ascii="Calibri" w:hAnsi="Calibri" w:asciiTheme="minorHAnsi" w:hAnsiTheme="minorHAnsi"/>
        </w:rPr>
        <w:t xml:space="preserve"> przygotowanie propozycji wyboru ofert i podziału środków finansowych między oferentami;</w:t>
      </w:r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>4)</w:t>
      </w:r>
      <w:r>
        <w:rPr>
          <w:rFonts w:eastAsia="TimesNewRomanPSMT" w:cs="Times New Roman" w:ascii="Calibri" w:hAnsi="Calibri" w:asciiTheme="minorHAnsi" w:hAnsiTheme="minorHAnsi"/>
        </w:rPr>
        <w:t xml:space="preserve"> sporządzenie protokołu z prac komisji konkursowej i przekazanie Wójtowi Gminy.</w:t>
      </w:r>
    </w:p>
    <w:p>
      <w:pPr>
        <w:pStyle w:val="Nagwek1"/>
        <w:spacing w:lineRule="auto" w:line="360"/>
        <w:rPr>
          <w:rFonts w:ascii="Calibri" w:hAnsi="Calibri" w:cs="Times New Roman" w:asciiTheme="minorHAnsi" w:hAnsiTheme="minorHAnsi"/>
          <w:sz w:val="24"/>
          <w:szCs w:val="24"/>
        </w:rPr>
      </w:pPr>
      <w:bookmarkStart w:id="15" w:name="_Toc464376136"/>
      <w:r>
        <w:rPr>
          <w:rFonts w:eastAsia="Times New Roman" w:cs="Times New Roman" w:ascii="Calibri" w:hAnsi="Calibri" w:asciiTheme="minorHAnsi" w:hAnsiTheme="minorHAnsi"/>
          <w:bCs/>
          <w:sz w:val="24"/>
          <w:szCs w:val="24"/>
        </w:rPr>
        <w:t>XIII. POSTANOWIENIA KO</w:t>
      </w:r>
      <w:r>
        <w:rPr>
          <w:rFonts w:eastAsia="TimesNewRoman,Bold" w:cs="Times New Roman" w:ascii="Calibri" w:hAnsi="Calibri" w:asciiTheme="minorHAnsi" w:hAnsiTheme="minorHAnsi"/>
          <w:bCs/>
          <w:sz w:val="24"/>
          <w:szCs w:val="24"/>
        </w:rPr>
        <w:t>Ń</w:t>
      </w:r>
      <w:r>
        <w:rPr>
          <w:rFonts w:eastAsia="Times New Roman" w:cs="Times New Roman" w:ascii="Calibri" w:hAnsi="Calibri" w:asciiTheme="minorHAnsi" w:hAnsiTheme="minorHAnsi"/>
          <w:bCs/>
          <w:sz w:val="24"/>
          <w:szCs w:val="24"/>
        </w:rPr>
        <w:t>COWE</w:t>
      </w:r>
      <w:bookmarkEnd w:id="15"/>
    </w:p>
    <w:p>
      <w:pPr>
        <w:pStyle w:val="Standard"/>
        <w:spacing w:lineRule="auto" w:line="360"/>
        <w:rPr>
          <w:rFonts w:ascii="Calibri" w:hAnsi="Calibri" w:eastAsia="TimesNewRomanPSMT" w:cs="Times New Roman" w:asciiTheme="minorHAnsi" w:hAnsiTheme="minorHAnsi"/>
        </w:rPr>
      </w:pPr>
      <w:r>
        <w:rPr>
          <w:rFonts w:eastAsia="TimesNewRomanPS-BoldMT" w:cs="Times New Roman" w:ascii="Calibri" w:hAnsi="Calibri" w:asciiTheme="minorHAnsi" w:hAnsiTheme="minorHAnsi"/>
          <w:bCs/>
        </w:rPr>
        <w:t>§ 17.</w:t>
      </w:r>
      <w:r>
        <w:rPr>
          <w:rFonts w:eastAsia="TimesNewRomanPSMT" w:cs="Times New Roman" w:ascii="Calibri" w:hAnsi="Calibri" w:asciiTheme="minorHAnsi" w:hAnsiTheme="minorHAnsi"/>
          <w:bCs/>
        </w:rPr>
        <w:t>1.</w:t>
      </w:r>
      <w:r>
        <w:rPr>
          <w:rFonts w:eastAsia="TimesNewRomanPSMT" w:cs="Times New Roman" w:ascii="Calibri" w:hAnsi="Calibri" w:asciiTheme="minorHAnsi" w:hAnsiTheme="minorHAnsi"/>
        </w:rPr>
        <w:t xml:space="preserve"> Rada Gminy, uchwalając budżet Gminy zapewni środki na realizację Programu i określi ich wysokość, w szczególności na zadania Gminy realizowane przez organizacje.</w:t>
      </w:r>
    </w:p>
    <w:p>
      <w:pPr>
        <w:pStyle w:val="Standard"/>
        <w:spacing w:lineRule="auto" w:line="360"/>
        <w:rPr>
          <w:rFonts w:ascii="Calibri" w:hAnsi="Calibri" w:cs="Times New Roman" w:asciiTheme="minorHAnsi" w:hAnsiTheme="minorHAnsi"/>
        </w:rPr>
      </w:pPr>
      <w:r>
        <w:rPr>
          <w:rFonts w:eastAsia="TimesNewRomanPSMT" w:cs="Times New Roman" w:ascii="Calibri" w:hAnsi="Calibri" w:asciiTheme="minorHAnsi" w:hAnsiTheme="minorHAnsi"/>
          <w:bCs/>
        </w:rPr>
        <w:t xml:space="preserve">2. </w:t>
      </w:r>
      <w:r>
        <w:rPr>
          <w:rFonts w:eastAsia="TimesNewRomanPSMT" w:cs="Times New Roman" w:ascii="Calibri" w:hAnsi="Calibri" w:asciiTheme="minorHAnsi" w:hAnsiTheme="minorHAnsi"/>
        </w:rPr>
        <w:t>Wszelkie uwagi, wnioski i propozycje dotyczące Programu należy zgłaszać do Wójta Gminy.</w:t>
      </w:r>
    </w:p>
    <w:sectPr>
      <w:headerReference w:type="default" r:id="rId3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>
        <w:rFonts w:ascii="Calibri" w:hAnsi="Calibri" w:asciiTheme="minorHAnsi" w:hAnsiTheme="minorHAnsi"/>
      </w:rPr>
    </w:pPr>
    <w:r>
      <w:rPr>
        <w:rFonts w:ascii="Calibri" w:hAnsi="Calibri" w:asciiTheme="minorHAnsi" w:hAnsiTheme="minorHAnsi"/>
      </w:rPr>
      <w:t>Załącznik nr 1 do Uchwały Nr …… Rady Gminy Nowa Ruda z dnia…….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06958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eastAsia="zh-CN" w:bidi="hi-IN" w:val="pl-PL"/>
    </w:rPr>
  </w:style>
  <w:style w:type="paragraph" w:styleId="Nagwek1">
    <w:name w:val="Heading 1"/>
    <w:basedOn w:val="Normal"/>
    <w:next w:val="Normal"/>
    <w:link w:val="Nagwek1Znak"/>
    <w:uiPriority w:val="9"/>
    <w:qFormat/>
    <w:rsid w:val="00506958"/>
    <w:pPr>
      <w:keepNext w:val="true"/>
      <w:keepLines/>
      <w:spacing w:before="240" w:after="0"/>
      <w:outlineLvl w:val="0"/>
    </w:pPr>
    <w:rPr>
      <w:rFonts w:ascii="Calibri Light" w:hAnsi="Calibri Light" w:eastAsia="" w:asciiTheme="majorHAnsi" w:eastAsiaTheme="majorEastAsia" w:hAnsiTheme="majorHAnsi"/>
      <w:color w:val="2E74B5" w:themeColor="accent1" w:themeShade="bf"/>
      <w:sz w:val="32"/>
      <w:szCs w:val="29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rsid w:val="008532de"/>
    <w:pPr>
      <w:keepNext w:val="true"/>
      <w:keepLines/>
      <w:spacing w:before="40" w:after="0"/>
      <w:outlineLvl w:val="2"/>
    </w:pPr>
    <w:rPr>
      <w:rFonts w:ascii="Calibri Light" w:hAnsi="Calibri Light" w:eastAsia="" w:asciiTheme="majorHAnsi" w:eastAsiaTheme="majorEastAsia" w:hAnsiTheme="majorHAnsi"/>
      <w:color w:val="1F4D78" w:themeColor="accent1" w:themeShade="7f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506958"/>
    <w:rPr>
      <w:rFonts w:ascii="Calibri Light" w:hAnsi="Calibri Light" w:eastAsia="" w:cs="Mangal" w:asciiTheme="majorHAnsi" w:eastAsiaTheme="majorEastAsia" w:hAnsiTheme="majorHAnsi"/>
      <w:color w:val="2E74B5" w:themeColor="accent1" w:themeShade="bf"/>
      <w:kern w:val="2"/>
      <w:sz w:val="32"/>
      <w:szCs w:val="29"/>
      <w:lang w:eastAsia="zh-CN" w:bidi="hi-IN"/>
    </w:rPr>
  </w:style>
  <w:style w:type="character" w:styleId="Czeinternetowe">
    <w:name w:val="Łącze internetowe"/>
    <w:basedOn w:val="DefaultParagraphFont"/>
    <w:uiPriority w:val="99"/>
    <w:unhideWhenUsed/>
    <w:rsid w:val="00506958"/>
    <w:rPr>
      <w:color w:val="0563C1" w:themeColor="hyperlink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056a6e"/>
    <w:rPr>
      <w:rFonts w:ascii="Segoe UI" w:hAnsi="Segoe UI" w:eastAsia="SimSun" w:cs="Mangal"/>
      <w:kern w:val="2"/>
      <w:sz w:val="18"/>
      <w:szCs w:val="16"/>
      <w:lang w:eastAsia="zh-CN" w:bidi="hi-IN"/>
    </w:rPr>
  </w:style>
  <w:style w:type="character" w:styleId="Nagwek3Znak" w:customStyle="1">
    <w:name w:val="Nagłówek 3 Znak"/>
    <w:basedOn w:val="DefaultParagraphFont"/>
    <w:link w:val="Nagwek3"/>
    <w:uiPriority w:val="9"/>
    <w:semiHidden/>
    <w:qFormat/>
    <w:rsid w:val="008532de"/>
    <w:rPr>
      <w:rFonts w:ascii="Calibri Light" w:hAnsi="Calibri Light" w:eastAsia="" w:cs="Mangal" w:asciiTheme="majorHAnsi" w:eastAsiaTheme="majorEastAsia" w:hAnsiTheme="majorHAnsi"/>
      <w:color w:val="1F4D78" w:themeColor="accent1" w:themeShade="7f"/>
      <w:kern w:val="2"/>
      <w:sz w:val="24"/>
      <w:szCs w:val="21"/>
      <w:lang w:eastAsia="zh-CN" w:bidi="hi-IN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ce209c"/>
    <w:rPr>
      <w:rFonts w:ascii="Times New Roman" w:hAnsi="Times New Roman" w:eastAsia="SimSun" w:cs="Mangal"/>
      <w:kern w:val="2"/>
      <w:sz w:val="24"/>
      <w:szCs w:val="21"/>
      <w:lang w:eastAsia="zh-CN" w:bidi="hi-IN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ce209c"/>
    <w:rPr>
      <w:rFonts w:ascii="Times New Roman" w:hAnsi="Times New Roman" w:eastAsia="SimSun" w:cs="Mangal"/>
      <w:kern w:val="2"/>
      <w:sz w:val="24"/>
      <w:szCs w:val="21"/>
      <w:lang w:eastAsia="zh-CN" w:bidi="hi-IN"/>
    </w:rPr>
  </w:style>
  <w:style w:type="character" w:styleId="Czeindeksu">
    <w:name w:val="Łącze indeksu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qFormat/>
    <w:rsid w:val="00506958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eastAsia="zh-CN" w:bidi="hi-IN" w:val="pl-PL"/>
    </w:rPr>
  </w:style>
  <w:style w:type="paragraph" w:styleId="TOCHeading">
    <w:name w:val="TOC Heading"/>
    <w:basedOn w:val="Nagwek1"/>
    <w:next w:val="Normal"/>
    <w:uiPriority w:val="39"/>
    <w:unhideWhenUsed/>
    <w:qFormat/>
    <w:rsid w:val="00506958"/>
    <w:pPr>
      <w:widowControl/>
      <w:suppressAutoHyphens w:val="false"/>
      <w:spacing w:lineRule="auto" w:line="259"/>
      <w:textAlignment w:val="auto"/>
    </w:pPr>
    <w:rPr>
      <w:rFonts w:cs="" w:cstheme="majorBidi"/>
      <w:kern w:val="0"/>
      <w:szCs w:val="32"/>
      <w:lang w:eastAsia="pl-PL" w:bidi="ar-SA"/>
    </w:rPr>
  </w:style>
  <w:style w:type="paragraph" w:styleId="Spistreci1">
    <w:name w:val="TOC 1"/>
    <w:basedOn w:val="Normal"/>
    <w:next w:val="Normal"/>
    <w:autoRedefine/>
    <w:uiPriority w:val="39"/>
    <w:unhideWhenUsed/>
    <w:rsid w:val="00506958"/>
    <w:pPr>
      <w:spacing w:before="0" w:after="100"/>
    </w:pPr>
    <w:rPr>
      <w:szCs w:val="21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56a6e"/>
    <w:pPr/>
    <w:rPr>
      <w:rFonts w:ascii="Segoe UI" w:hAnsi="Segoe UI"/>
      <w:sz w:val="18"/>
      <w:szCs w:val="16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ce209c"/>
    <w:pPr>
      <w:tabs>
        <w:tab w:val="clear" w:pos="708"/>
        <w:tab w:val="center" w:pos="4536" w:leader="none"/>
        <w:tab w:val="right" w:pos="9072" w:leader="none"/>
      </w:tabs>
    </w:pPr>
    <w:rPr>
      <w:szCs w:val="21"/>
    </w:rPr>
  </w:style>
  <w:style w:type="paragraph" w:styleId="Stopka">
    <w:name w:val="Footer"/>
    <w:basedOn w:val="Normal"/>
    <w:link w:val="StopkaZnak"/>
    <w:uiPriority w:val="99"/>
    <w:unhideWhenUsed/>
    <w:rsid w:val="00ce209c"/>
    <w:pPr>
      <w:tabs>
        <w:tab w:val="clear" w:pos="708"/>
        <w:tab w:val="center" w:pos="4536" w:leader="none"/>
        <w:tab w:val="right" w:pos="9072" w:leader="none"/>
      </w:tabs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45559-73DB-49BA-9A95-CF0C762D7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LibreOffice/7.0.1.2$Windows_X86_64 LibreOffice_project/7cbcfc562f6eb6708b5ff7d7397325de9e764452</Application>
  <Pages>9</Pages>
  <Words>1846</Words>
  <Characters>11641</Characters>
  <CharactersWithSpaces>13378</CharactersWithSpaces>
  <Paragraphs>130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2020-10-22T17:38:00Z</dcterms:created>
  <dc:creator>uzytkownik</dc:creator>
  <dc:description/>
  <dc:language>pl-PL</dc:language>
  <cp:lastModifiedBy>uzytkownik</cp:lastModifiedBy>
  <cp:lastPrinted>2020-10-26T10:29:00Z</cp:lastPrinted>
  <dcterms:modified xsi:type="dcterms:W3CDTF">2020-10-26T11:03:00Z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