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825198">
        <w:rPr>
          <w:rFonts w:ascii="Times New Roman" w:hAnsi="Times New Roman" w:cs="Times New Roman"/>
          <w:sz w:val="20"/>
          <w:szCs w:val="20"/>
        </w:rPr>
        <w:t>Załącznik nr 2</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825198">
        <w:rPr>
          <w:rFonts w:ascii="Times New Roman" w:hAnsi="Times New Roman" w:cs="Times New Roman"/>
          <w:sz w:val="20"/>
          <w:szCs w:val="20"/>
        </w:rPr>
        <w:t>do zarządzenia nr 423/24 Wójta Gminy Nowa Ruda</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825198">
        <w:rPr>
          <w:rFonts w:ascii="Times New Roman" w:hAnsi="Times New Roman" w:cs="Times New Roman"/>
          <w:sz w:val="20"/>
          <w:szCs w:val="20"/>
        </w:rPr>
        <w:t>dnia 30 września 2024 roku</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b/>
          <w:bCs/>
          <w:sz w:val="24"/>
          <w:szCs w:val="24"/>
        </w:rPr>
      </w:pPr>
      <w:r w:rsidRPr="00825198">
        <w:rPr>
          <w:rFonts w:ascii="Times New Roman" w:hAnsi="Times New Roman" w:cs="Times New Roman"/>
          <w:b/>
          <w:bCs/>
          <w:sz w:val="24"/>
          <w:szCs w:val="24"/>
        </w:rPr>
        <w:t>Objaśnienia do Wieloletniej Prognozy Finansowej</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b/>
          <w:bCs/>
          <w:sz w:val="24"/>
          <w:szCs w:val="24"/>
        </w:rPr>
      </w:pPr>
      <w:r w:rsidRPr="00825198">
        <w:rPr>
          <w:rFonts w:ascii="Times New Roman" w:hAnsi="Times New Roman" w:cs="Times New Roman"/>
          <w:b/>
          <w:bCs/>
          <w:sz w:val="24"/>
          <w:szCs w:val="24"/>
        </w:rPr>
        <w:t>Gminy Nowa Ruda</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Ustawa z dnia 27 sierpnia 2009 roku o finansach publicznych wprowadziła obowiązek opracowania Wieloletniej Prognozy Finansowej jednostek samorządu terytorialnego. Wieloletnia Prognoza Finansowa sporządzona jest na okres, na który zaciągnięto lub zamierza się zaciągnąć zobowiązania. Tak długa prognoza finansowa dla Gminy Nowa Ruda wynika ze spłaty pożyczek oraz wykupu  emisji obligacji  komunalnych. Wysokość planowanych zobowiązań, nie stanowi zagrożenia w  spełnieniu zasady zawartej w art. 243 ustawy o finansach publicznych</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Do celów opracowania prognozy na rok 2024 przeprowadzono analizę dochodów i wydatków w latach 2020-2022 oraz przewidywane wykonanie roku 2023.</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825198">
        <w:rPr>
          <w:rFonts w:ascii="Times New Roman" w:hAnsi="Times New Roman" w:cs="Times New Roman"/>
          <w:b/>
          <w:bCs/>
          <w:sz w:val="20"/>
          <w:szCs w:val="20"/>
        </w:rPr>
        <w:t xml:space="preserve">Przy opracowywaniu Wieloletniej Prognozy Finansowej Gminy Nowa Ruda wzięto pod uwagę dane historyczne oraz prognozy wskaźnika PKB określonych w dokumencie przygotowanym przez Ministra Finansów pn.: „Wytyczne dotyczące stosowania jednolitych wskaźników makroekonomicznych będących podstawą oszacowania skutków finansowych projektowanych ustaw.  Aktualizacja – październik 2023 r.”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Jednym z wyznaczników prognozy wysokości dochodów bieżących na lata 2024-2033 był wskaźnik wzrostu PKB, a wydatków bieżących był wskaźnik cen towarów i usług konsumpcyjnych CPI:</w:t>
      </w:r>
    </w:p>
    <w:tbl>
      <w:tblPr>
        <w:tblW w:w="0" w:type="auto"/>
        <w:tblInd w:w="-5" w:type="dxa"/>
        <w:tblLayout w:type="fixed"/>
        <w:tblLook w:val="0000" w:firstRow="0" w:lastRow="0" w:firstColumn="0" w:lastColumn="0" w:noHBand="0" w:noVBand="0"/>
      </w:tblPr>
      <w:tblGrid>
        <w:gridCol w:w="1134"/>
        <w:gridCol w:w="851"/>
        <w:gridCol w:w="709"/>
        <w:gridCol w:w="708"/>
        <w:gridCol w:w="709"/>
        <w:gridCol w:w="709"/>
        <w:gridCol w:w="709"/>
        <w:gridCol w:w="709"/>
        <w:gridCol w:w="709"/>
        <w:gridCol w:w="709"/>
        <w:gridCol w:w="692"/>
        <w:gridCol w:w="692"/>
      </w:tblGrid>
      <w:tr w:rsidR="00825198" w:rsidRPr="00825198">
        <w:tc>
          <w:tcPr>
            <w:tcW w:w="1134"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Wyszczególnienie</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i/>
                <w:iCs/>
                <w:sz w:val="20"/>
                <w:szCs w:val="20"/>
              </w:rPr>
            </w:pPr>
            <w:r w:rsidRPr="00825198">
              <w:rPr>
                <w:rFonts w:ascii="Times New Roman" w:hAnsi="Times New Roman" w:cs="Times New Roman"/>
                <w:sz w:val="20"/>
                <w:szCs w:val="20"/>
              </w:rPr>
              <w:t>(</w:t>
            </w:r>
            <w:r w:rsidRPr="00825198">
              <w:rPr>
                <w:rFonts w:ascii="Times New Roman" w:hAnsi="Times New Roman" w:cs="Times New Roman"/>
                <w:i/>
                <w:iCs/>
                <w:sz w:val="20"/>
                <w:szCs w:val="20"/>
              </w:rPr>
              <w:t>prognoza)</w:t>
            </w:r>
          </w:p>
        </w:tc>
        <w:tc>
          <w:tcPr>
            <w:tcW w:w="851"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2030</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2031</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2032</w:t>
            </w:r>
          </w:p>
        </w:tc>
        <w:tc>
          <w:tcPr>
            <w:tcW w:w="692"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2033</w:t>
            </w:r>
          </w:p>
        </w:tc>
        <w:tc>
          <w:tcPr>
            <w:tcW w:w="692"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2034</w:t>
            </w:r>
          </w:p>
        </w:tc>
      </w:tr>
      <w:tr w:rsidR="00825198" w:rsidRPr="00825198">
        <w:tc>
          <w:tcPr>
            <w:tcW w:w="1134"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Wskaźnik PKB (%)</w:t>
            </w:r>
          </w:p>
        </w:tc>
        <w:tc>
          <w:tcPr>
            <w:tcW w:w="851"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103,0</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103,4</w:t>
            </w:r>
          </w:p>
        </w:tc>
        <w:tc>
          <w:tcPr>
            <w:tcW w:w="708"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103,1</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103,0</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102,8</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102,6</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102,4</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102,3</w:t>
            </w:r>
          </w:p>
        </w:tc>
        <w:tc>
          <w:tcPr>
            <w:tcW w:w="692"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102,3</w:t>
            </w:r>
          </w:p>
        </w:tc>
        <w:tc>
          <w:tcPr>
            <w:tcW w:w="692"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102,3</w:t>
            </w:r>
          </w:p>
        </w:tc>
      </w:tr>
      <w:tr w:rsidR="00825198" w:rsidRPr="00825198">
        <w:tc>
          <w:tcPr>
            <w:tcW w:w="1134"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Wskaźnik CPI (%)</w:t>
            </w:r>
          </w:p>
        </w:tc>
        <w:tc>
          <w:tcPr>
            <w:tcW w:w="851"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106,6</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104,1</w:t>
            </w:r>
          </w:p>
        </w:tc>
        <w:tc>
          <w:tcPr>
            <w:tcW w:w="708"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103,1</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692"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c>
          <w:tcPr>
            <w:tcW w:w="692" w:type="dxa"/>
            <w:tcBorders>
              <w:top w:val="single" w:sz="4" w:space="0" w:color="auto"/>
              <w:left w:val="single" w:sz="4" w:space="0" w:color="auto"/>
              <w:bottom w:val="single" w:sz="4" w:space="0" w:color="auto"/>
              <w:right w:val="single" w:sz="4" w:space="0" w:color="auto"/>
            </w:tcBorders>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825198">
              <w:rPr>
                <w:rFonts w:ascii="Times New Roman" w:hAnsi="Times New Roman" w:cs="Times New Roman"/>
                <w:sz w:val="20"/>
                <w:szCs w:val="20"/>
              </w:rPr>
              <w:t>102,5</w:t>
            </w:r>
          </w:p>
        </w:tc>
      </w:tr>
    </w:tbl>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Niemniej jednak przy prognozowaniu wielkości dochodów i wydatków wzięto pod uwagę inne czynniki mające wpływ na poziom szacowanych kwot, takie jak: sytuacja gospodarcza regionu, tendencja spadkowa w zakresie przyrostu naturalnego oraz zmniejszająca się ludność zamieszkująca teren gminy ale przede wszystkim zmienne warunki cenowe na rynku paliw i energii oraz wzrost kosztów zatrudnienia.</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Wieloletnia Prognoza Finansowa zawiera 3 załączniki.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Załącznik Nr 1 Wieloletniej Prognozy Finansowej przedstawia dane finansowe zawierające informację o kształtowaniu się najważniejszych składowych budżetu (dochody, wydatki, rozchody i przychody), jak również informacje o wysokości zadłużenia gminy.</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Załącznik nr 2 stanowi wykaz przedsięwzięć wieloletnich. Załącznik nr 3 stanowi objaśnienia metodologii przyjętych założeń w Wieloletniej Prognozie Finansowej Gminy Nowa Ruda na lata 2024-2034.</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lastRenderedPageBreak/>
        <w:t xml:space="preserve">Przedstawione w WPF wartości za lata 2020-2023 wynikają z realizacji budżetu, pozycja przewidywanego wykonania wynika z rozliczeń i analiz bieżących.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825198">
        <w:rPr>
          <w:rFonts w:ascii="Times New Roman" w:hAnsi="Times New Roman" w:cs="Times New Roman"/>
          <w:b/>
          <w:bCs/>
          <w:sz w:val="20"/>
          <w:szCs w:val="20"/>
          <w:u w:val="single"/>
        </w:rPr>
        <w:t>DOCHODY</w:t>
      </w:r>
    </w:p>
    <w:p w:rsidR="00825198" w:rsidRPr="00825198" w:rsidRDefault="00825198" w:rsidP="00825198">
      <w:p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ind w:left="473"/>
        <w:rPr>
          <w:rFonts w:ascii="Times New Roman" w:hAnsi="Times New Roman" w:cs="Times New Roman"/>
          <w:color w:val="FF0000"/>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W Wieloletniej Prognozie Finansowej na 2024 rok przedstawiono dane liczbowe, które zawiera szczegółowo uchwała budżetowa na rok 2024.</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Dochody ogółem zaplanowano w wysokości </w:t>
      </w:r>
      <w:r w:rsidRPr="00825198">
        <w:rPr>
          <w:rFonts w:ascii="Times New Roman" w:hAnsi="Times New Roman" w:cs="Times New Roman"/>
          <w:b/>
          <w:bCs/>
          <w:sz w:val="20"/>
          <w:szCs w:val="20"/>
        </w:rPr>
        <w:t>98 274 284,18 zł</w:t>
      </w:r>
      <w:r w:rsidRPr="00825198">
        <w:rPr>
          <w:rFonts w:ascii="Times New Roman" w:hAnsi="Times New Roman" w:cs="Times New Roman"/>
          <w:sz w:val="20"/>
          <w:szCs w:val="20"/>
        </w:rPr>
        <w:t xml:space="preserve">. Dochody bieżące zaplanowano w kwocie </w:t>
      </w:r>
      <w:r w:rsidRPr="00825198">
        <w:rPr>
          <w:rFonts w:ascii="Times New Roman" w:hAnsi="Times New Roman" w:cs="Times New Roman"/>
          <w:b/>
          <w:bCs/>
          <w:sz w:val="20"/>
          <w:szCs w:val="20"/>
        </w:rPr>
        <w:t>67 607 696,39 zł</w:t>
      </w:r>
      <w:r w:rsidRPr="00825198">
        <w:rPr>
          <w:rFonts w:ascii="Times New Roman" w:hAnsi="Times New Roman" w:cs="Times New Roman"/>
          <w:sz w:val="20"/>
          <w:szCs w:val="20"/>
        </w:rPr>
        <w:t xml:space="preserve">, dochody majątkowe w kwocie </w:t>
      </w:r>
      <w:r w:rsidRPr="00825198">
        <w:rPr>
          <w:rFonts w:ascii="Times New Roman" w:hAnsi="Times New Roman" w:cs="Times New Roman"/>
          <w:b/>
          <w:bCs/>
          <w:sz w:val="20"/>
          <w:szCs w:val="20"/>
        </w:rPr>
        <w:t>30 666 587,79 zł</w:t>
      </w:r>
      <w:r w:rsidRPr="00825198">
        <w:rPr>
          <w:rFonts w:ascii="Times New Roman" w:hAnsi="Times New Roman" w:cs="Times New Roman"/>
          <w:sz w:val="20"/>
          <w:szCs w:val="20"/>
        </w:rPr>
        <w:t>.</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Dochody bieżące planujemy na poziomie aktualnie posiadanych informacji w zakresie możliwości ich pozyskania. W ramach podatków i opłat założono nieznaczny wzrost wynikający z wzmożonej egzekucji w zakresie zaległości podatkowych oraz opłaty za gospodarowanie odpadami komunalnymi. Zaplanowane wielkości z tytułu udziałów w podatku dochodowym od osób fizycznych oraz prawnych zaplanowano zgodnie z informacją przekazaną pismem ST3.4750.19.2023 przez Ministra Finansów.</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Na dochody majątkowe składają się :</w:t>
      </w:r>
    </w:p>
    <w:p w:rsidR="00825198" w:rsidRPr="00825198" w:rsidRDefault="00825198" w:rsidP="00825198">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dochody ze sprzedaży majątku – kwota  3 194 333,53 zł,</w:t>
      </w:r>
    </w:p>
    <w:p w:rsidR="00825198" w:rsidRPr="00825198" w:rsidRDefault="00825198" w:rsidP="00825198">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środki pozyskane w ramach Funduszu Polski Ład – Fundusz Inwestycji Strategicznych – kwota 9 224 102,44 zł,</w:t>
      </w:r>
    </w:p>
    <w:p w:rsidR="00825198" w:rsidRPr="00825198" w:rsidRDefault="00825198" w:rsidP="00825198">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color w:val="000000"/>
          <w:sz w:val="20"/>
          <w:szCs w:val="20"/>
        </w:rPr>
        <w:t>Środki z Funduszu Przeciwdziałania COVID-19 na finansowanie lub dofinansowanie kosztów realizacji inwestycji i zakupów inwestycyjnych związanych z przeciwdziałaniem COVID-19 – dotacje na zabytki – kwota 409 953,00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dofinansowanie inwestycji ze środków UE i BP– kwota 12 765 925,00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dotacja w ramach Rządowego Funduszu Rozwoju Dróg – kwota 1 961 310,00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dotacja z Funduszu Rozwoju Kultury Fizycznej na budowę hali w Ludwikowicach (aneks nr 2 z dnia 13-12-2023 r.) - 1 690 200,00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dotacja w ramach projektu „Ciepłe mieszkanie” – kwota 820 600,00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dotacja z Urzędu Marszałkowskiego Województwa Dolnośląskiego na zadania rekultywacyjne związane z przebudową dróg - 271 000,00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dotacja z Dolnośląskiego Funduszu Pomocy Rozwojowej 2024 na oświetlenie uliczne ul. Stefana Batorego – 116 380,00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zwrot wydatków majątkowych w ramach zrealizowanego Funduszu Sołeckiego – 164 816,82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left"/>
        <w:rPr>
          <w:rFonts w:ascii="Times New Roman" w:hAnsi="Times New Roman" w:cs="Times New Roman"/>
          <w:sz w:val="20"/>
          <w:szCs w:val="20"/>
        </w:rPr>
      </w:pPr>
      <w:r w:rsidRPr="00825198">
        <w:rPr>
          <w:rFonts w:ascii="Times New Roman" w:hAnsi="Times New Roman" w:cs="Times New Roman"/>
          <w:sz w:val="20"/>
          <w:szCs w:val="20"/>
        </w:rPr>
        <w:t>pomoc finansowa przyznana z budżetu Województwa Dolnośląskiego w ramach konkursu pod nazwą „Odnowa Dolnośląskiej Wsi 2024” na realizację zadania "Odnowa Dolnośląskiej Wsi - modernizacja placu zabaw w Jugowie” – 35 967,00 zł,</w:t>
      </w:r>
    </w:p>
    <w:p w:rsidR="00825198" w:rsidRPr="00825198" w:rsidRDefault="00825198" w:rsidP="00825198">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left"/>
        <w:rPr>
          <w:rFonts w:ascii="Times New Roman" w:hAnsi="Times New Roman" w:cs="Times New Roman"/>
          <w:sz w:val="20"/>
          <w:szCs w:val="20"/>
        </w:rPr>
      </w:pPr>
      <w:r w:rsidRPr="00825198">
        <w:rPr>
          <w:rFonts w:ascii="Times New Roman" w:hAnsi="Times New Roman" w:cs="Times New Roman"/>
          <w:sz w:val="20"/>
          <w:szCs w:val="20"/>
        </w:rPr>
        <w:t>pomoc finansowa przyznana z budżetu Starostwa Powiatowego w Kłodzku w ramach konkursu pod nazwą „"Najlepsze Inicjatywy Społeczności Lokalnych"” na realizację zadań finansowanych w ramach Funduszy Sołeckich – kwota 12 000,00 zł.</w:t>
      </w:r>
    </w:p>
    <w:p w:rsidR="00825198" w:rsidRPr="00825198" w:rsidRDefault="00825198" w:rsidP="00825198">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1080"/>
        <w:jc w:val="left"/>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lastRenderedPageBreak/>
        <w:t xml:space="preserve">W prognozie dochodów na lata 2024-2034 w dochodach ogółem zaplanowano wzrost, który uwzględnia wpływ wskaźników makroekonomicznych.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Dochody majątkowe z tego tytułu w kolejnych latach zaplanowano na niższym poziomie. Dochody ze sprzedaży mienia gminnego będą coraz mniejsze pomimo, że gmina posiada do zbycia grunty rolne i nieruchomości, to nie zawsze jest zainteresowanie ze strony kupujących.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W tym okresie planujemy rozliczenie końcowe i odzyskanie kwot wydatków kwalifikowanych w ramach realizowanych zadań inwestycyjnych współfinansowanych w ramach środków UE. Ma to związek z planowaną realizacją harmonogramu wpływów dokonywanych z rozliczeń środków </w:t>
      </w:r>
      <w:r w:rsidRPr="00825198">
        <w:rPr>
          <w:rFonts w:ascii="Times New Roman" w:hAnsi="Times New Roman" w:cs="Times New Roman"/>
          <w:b/>
          <w:bCs/>
          <w:sz w:val="20"/>
          <w:szCs w:val="20"/>
        </w:rPr>
        <w:t>nowej perspektywy finansowania.</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W prognozie ujęto planowane środki z dofinansowania realizowanych projektów w ramach UE.</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Po stronie dochodów majątkowych przyjęto kwoty wynikające z realizowanych projektów współfinansowanych w ramach środków UE . Ich nazwę, poziom finansowania i lata realizacji zawiera poniższa tabela : </w:t>
      </w:r>
    </w:p>
    <w:tbl>
      <w:tblPr>
        <w:tblW w:w="0" w:type="auto"/>
        <w:tblLayout w:type="fixed"/>
        <w:tblCellMar>
          <w:left w:w="70" w:type="dxa"/>
          <w:right w:w="70" w:type="dxa"/>
        </w:tblCellMar>
        <w:tblLook w:val="0000" w:firstRow="0" w:lastRow="0" w:firstColumn="0" w:lastColumn="0" w:noHBand="0" w:noVBand="0"/>
      </w:tblPr>
      <w:tblGrid>
        <w:gridCol w:w="3480"/>
        <w:gridCol w:w="1620"/>
        <w:gridCol w:w="1340"/>
      </w:tblGrid>
      <w:tr w:rsidR="00825198" w:rsidRPr="00825198">
        <w:trPr>
          <w:trHeight w:val="290"/>
        </w:trPr>
        <w:tc>
          <w:tcPr>
            <w:tcW w:w="3480" w:type="dxa"/>
            <w:vMerge w:val="restart"/>
            <w:tcBorders>
              <w:top w:val="single" w:sz="4" w:space="0" w:color="auto"/>
              <w:left w:val="single" w:sz="4" w:space="0" w:color="auto"/>
              <w:bottom w:val="single" w:sz="4" w:space="0" w:color="000000"/>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nazwa zadania</w:t>
            </w:r>
          </w:p>
        </w:tc>
        <w:tc>
          <w:tcPr>
            <w:tcW w:w="1620" w:type="dxa"/>
            <w:vMerge w:val="restart"/>
            <w:tcBorders>
              <w:top w:val="single" w:sz="4" w:space="0" w:color="auto"/>
              <w:left w:val="single" w:sz="4" w:space="0" w:color="auto"/>
              <w:bottom w:val="single" w:sz="4" w:space="0" w:color="000000"/>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lata</w:t>
            </w:r>
          </w:p>
        </w:tc>
        <w:tc>
          <w:tcPr>
            <w:tcW w:w="1340" w:type="dxa"/>
            <w:tcBorders>
              <w:top w:val="single" w:sz="4" w:space="0" w:color="auto"/>
              <w:left w:val="nil"/>
              <w:bottom w:val="nil"/>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DOCHODY</w:t>
            </w:r>
          </w:p>
        </w:tc>
      </w:tr>
      <w:tr w:rsidR="00825198" w:rsidRPr="00825198">
        <w:trPr>
          <w:trHeight w:val="29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Calibri"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Calibri" w:hAnsi="Calibri" w:cs="Calibri"/>
                <w:color w:val="000000"/>
              </w:rPr>
            </w:pPr>
          </w:p>
        </w:tc>
        <w:tc>
          <w:tcPr>
            <w:tcW w:w="1340" w:type="dxa"/>
            <w:tcBorders>
              <w:top w:val="single" w:sz="4" w:space="0" w:color="auto"/>
              <w:left w:val="nil"/>
              <w:bottom w:val="single" w:sz="4" w:space="0" w:color="auto"/>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UE + BP</w:t>
            </w:r>
          </w:p>
        </w:tc>
      </w:tr>
      <w:tr w:rsidR="00825198" w:rsidRPr="00825198">
        <w:trPr>
          <w:trHeight w:val="73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Termomodernizacja budynków użyteczności publicznej za pośrednictwem Funduszy Europejskich na rzecz </w:t>
            </w:r>
            <w:proofErr w:type="spellStart"/>
            <w:r w:rsidRPr="00825198">
              <w:rPr>
                <w:rFonts w:ascii="Arial" w:hAnsi="Arial" w:cs="Arial"/>
                <w:color w:val="000000"/>
                <w:sz w:val="14"/>
                <w:szCs w:val="14"/>
              </w:rPr>
              <w:t>trasformacji</w:t>
            </w:r>
            <w:proofErr w:type="spellEnd"/>
            <w:r w:rsidRPr="00825198">
              <w:rPr>
                <w:rFonts w:ascii="Arial" w:hAnsi="Arial" w:cs="Arial"/>
                <w:color w:val="000000"/>
                <w:sz w:val="14"/>
                <w:szCs w:val="14"/>
              </w:rPr>
              <w:t xml:space="preserve"> obszarów górniczych na Dolnym Śląsku - </w:t>
            </w:r>
            <w:r w:rsidRPr="00825198">
              <w:rPr>
                <w:rFonts w:ascii="Arial" w:hAnsi="Arial" w:cs="Arial"/>
                <w:color w:val="FF0000"/>
                <w:sz w:val="14"/>
                <w:szCs w:val="14"/>
              </w:rPr>
              <w:t>remizy OSP</w:t>
            </w:r>
            <w:r w:rsidRPr="00825198">
              <w:rPr>
                <w:rFonts w:ascii="Arial" w:hAnsi="Arial" w:cs="Arial"/>
                <w:color w:val="000000"/>
                <w:sz w:val="14"/>
                <w:szCs w:val="14"/>
              </w:rPr>
              <w:t xml:space="preserve">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1 228 461,00</w:t>
            </w:r>
          </w:p>
        </w:tc>
      </w:tr>
      <w:tr w:rsidR="00825198" w:rsidRPr="00825198">
        <w:trPr>
          <w:trHeight w:val="40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4 160 000,00</w:t>
            </w:r>
          </w:p>
        </w:tc>
      </w:tr>
      <w:tr w:rsidR="00825198" w:rsidRPr="00825198">
        <w:trPr>
          <w:trHeight w:val="530"/>
        </w:trPr>
        <w:tc>
          <w:tcPr>
            <w:tcW w:w="3480" w:type="dxa"/>
            <w:vMerge w:val="restart"/>
            <w:tcBorders>
              <w:top w:val="nil"/>
              <w:left w:val="nil"/>
              <w:bottom w:val="single" w:sz="4" w:space="0" w:color="000000"/>
              <w:right w:val="nil"/>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Termomodernizacja budynków użyteczności publicznej za pośrednictwem Funduszy Europejskich na rzecz </w:t>
            </w:r>
            <w:proofErr w:type="spellStart"/>
            <w:r w:rsidRPr="00825198">
              <w:rPr>
                <w:rFonts w:ascii="Arial" w:hAnsi="Arial" w:cs="Arial"/>
                <w:color w:val="000000"/>
                <w:sz w:val="14"/>
                <w:szCs w:val="14"/>
              </w:rPr>
              <w:t>trasformacji</w:t>
            </w:r>
            <w:proofErr w:type="spellEnd"/>
            <w:r w:rsidRPr="00825198">
              <w:rPr>
                <w:rFonts w:ascii="Arial" w:hAnsi="Arial" w:cs="Arial"/>
                <w:color w:val="000000"/>
                <w:sz w:val="14"/>
                <w:szCs w:val="14"/>
              </w:rPr>
              <w:t xml:space="preserve"> obszarów górniczych na Dolnym Śląsku - </w:t>
            </w:r>
            <w:r w:rsidRPr="00825198">
              <w:rPr>
                <w:rFonts w:ascii="Arial" w:hAnsi="Arial" w:cs="Arial"/>
                <w:color w:val="FF0000"/>
                <w:sz w:val="14"/>
                <w:szCs w:val="14"/>
              </w:rPr>
              <w:t>sala sportowa Dzikowiec</w:t>
            </w:r>
            <w:r w:rsidRPr="00825198">
              <w:rPr>
                <w:rFonts w:ascii="Arial" w:hAnsi="Arial" w:cs="Arial"/>
                <w:color w:val="000000"/>
                <w:sz w:val="14"/>
                <w:szCs w:val="14"/>
              </w:rPr>
              <w:t xml:space="preserve"> -</w:t>
            </w:r>
          </w:p>
        </w:tc>
        <w:tc>
          <w:tcPr>
            <w:tcW w:w="1620" w:type="dxa"/>
            <w:tcBorders>
              <w:top w:val="nil"/>
              <w:left w:val="single" w:sz="4" w:space="0" w:color="000000"/>
              <w:bottom w:val="nil"/>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565 000,00</w:t>
            </w:r>
          </w:p>
        </w:tc>
      </w:tr>
      <w:tr w:rsidR="00825198" w:rsidRPr="00825198">
        <w:trPr>
          <w:trHeight w:val="380"/>
        </w:trPr>
        <w:tc>
          <w:tcPr>
            <w:tcW w:w="3480" w:type="dxa"/>
            <w:vMerge/>
            <w:tcBorders>
              <w:top w:val="nil"/>
              <w:left w:val="nil"/>
              <w:bottom w:val="single" w:sz="4" w:space="0" w:color="000000"/>
              <w:right w:val="nil"/>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1 800 000,00</w:t>
            </w:r>
          </w:p>
        </w:tc>
      </w:tr>
      <w:tr w:rsidR="00825198" w:rsidRPr="00825198">
        <w:trPr>
          <w:trHeight w:val="480"/>
        </w:trPr>
        <w:tc>
          <w:tcPr>
            <w:tcW w:w="3480" w:type="dxa"/>
            <w:vMerge w:val="restart"/>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Partnerstwo </w:t>
            </w:r>
            <w:proofErr w:type="spellStart"/>
            <w:r w:rsidRPr="00825198">
              <w:rPr>
                <w:rFonts w:ascii="Arial" w:hAnsi="Arial" w:cs="Arial"/>
                <w:color w:val="000000"/>
                <w:sz w:val="14"/>
                <w:szCs w:val="14"/>
              </w:rPr>
              <w:t>Noworudzko-Radkowskie-Termomodernizacja</w:t>
            </w:r>
            <w:proofErr w:type="spellEnd"/>
            <w:r w:rsidRPr="00825198">
              <w:rPr>
                <w:rFonts w:ascii="Arial" w:hAnsi="Arial" w:cs="Arial"/>
                <w:color w:val="000000"/>
                <w:sz w:val="14"/>
                <w:szCs w:val="14"/>
              </w:rPr>
              <w:t xml:space="preserve"> i wymiana źródeł ciepła w obiektach </w:t>
            </w:r>
            <w:proofErr w:type="spellStart"/>
            <w:r w:rsidRPr="00825198">
              <w:rPr>
                <w:rFonts w:ascii="Arial" w:hAnsi="Arial" w:cs="Arial"/>
                <w:color w:val="000000"/>
                <w:sz w:val="14"/>
                <w:szCs w:val="14"/>
              </w:rPr>
              <w:t>kulturalnych,społecznych</w:t>
            </w:r>
            <w:proofErr w:type="spellEnd"/>
            <w:r w:rsidRPr="00825198">
              <w:rPr>
                <w:rFonts w:ascii="Arial" w:hAnsi="Arial" w:cs="Arial"/>
                <w:color w:val="000000"/>
                <w:sz w:val="14"/>
                <w:szCs w:val="14"/>
              </w:rPr>
              <w:t xml:space="preserve"> i turystycznych (</w:t>
            </w:r>
            <w:r w:rsidRPr="00825198">
              <w:rPr>
                <w:rFonts w:ascii="Arial" w:hAnsi="Arial" w:cs="Arial"/>
                <w:color w:val="FF0000"/>
                <w:sz w:val="14"/>
                <w:szCs w:val="14"/>
              </w:rPr>
              <w:t>Europejski Dom Spotkań)</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470"/>
        </w:trPr>
        <w:tc>
          <w:tcPr>
            <w:tcW w:w="3480" w:type="dxa"/>
            <w:vMerge/>
            <w:tcBorders>
              <w:top w:val="nil"/>
              <w:left w:val="single" w:sz="4" w:space="0" w:color="auto"/>
              <w:bottom w:val="single" w:sz="4" w:space="0" w:color="auto"/>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2 034 250,00</w:t>
            </w:r>
          </w:p>
        </w:tc>
      </w:tr>
      <w:tr w:rsidR="00825198" w:rsidRPr="00825198">
        <w:trPr>
          <w:trHeight w:val="41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Termomodernizacja budynków użyteczności publicznej za pośrednictwem Funduszy Europejskich na rzecz </w:t>
            </w:r>
            <w:proofErr w:type="spellStart"/>
            <w:r w:rsidRPr="00825198">
              <w:rPr>
                <w:rFonts w:ascii="Arial" w:hAnsi="Arial" w:cs="Arial"/>
                <w:color w:val="000000"/>
                <w:sz w:val="14"/>
                <w:szCs w:val="14"/>
              </w:rPr>
              <w:t>trasformacji</w:t>
            </w:r>
            <w:proofErr w:type="spellEnd"/>
            <w:r w:rsidRPr="00825198">
              <w:rPr>
                <w:rFonts w:ascii="Arial" w:hAnsi="Arial" w:cs="Arial"/>
                <w:color w:val="000000"/>
                <w:sz w:val="14"/>
                <w:szCs w:val="14"/>
              </w:rPr>
              <w:t xml:space="preserve"> obszarów górniczych na Dolnym Śląsku - </w:t>
            </w:r>
            <w:r w:rsidRPr="00825198">
              <w:rPr>
                <w:rFonts w:ascii="Arial" w:hAnsi="Arial" w:cs="Arial"/>
                <w:color w:val="FF0000"/>
                <w:sz w:val="14"/>
                <w:szCs w:val="14"/>
              </w:rPr>
              <w:t xml:space="preserve">Żłobek Ludwikowice </w:t>
            </w:r>
            <w:r w:rsidRPr="00825198">
              <w:rPr>
                <w:rFonts w:ascii="Arial" w:hAnsi="Arial" w:cs="Arial"/>
                <w:color w:val="000000"/>
                <w:sz w:val="14"/>
                <w:szCs w:val="14"/>
              </w:rPr>
              <w:t>-</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240 000,00</w:t>
            </w:r>
          </w:p>
        </w:tc>
      </w:tr>
      <w:tr w:rsidR="00825198" w:rsidRPr="00825198">
        <w:trPr>
          <w:trHeight w:val="42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720 000,00</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Partnerstwo </w:t>
            </w:r>
            <w:proofErr w:type="spellStart"/>
            <w:r w:rsidRPr="00825198">
              <w:rPr>
                <w:rFonts w:ascii="Arial" w:hAnsi="Arial" w:cs="Arial"/>
                <w:color w:val="000000"/>
                <w:sz w:val="14"/>
                <w:szCs w:val="14"/>
              </w:rPr>
              <w:t>Noworudzko-Radkowskie-Termomodernizacja</w:t>
            </w:r>
            <w:proofErr w:type="spellEnd"/>
            <w:r w:rsidRPr="00825198">
              <w:rPr>
                <w:rFonts w:ascii="Arial" w:hAnsi="Arial" w:cs="Arial"/>
                <w:color w:val="000000"/>
                <w:sz w:val="14"/>
                <w:szCs w:val="14"/>
              </w:rPr>
              <w:t xml:space="preserve"> i wymiana źródeł ciepła w budynkach użyteczności publicznej (</w:t>
            </w:r>
            <w:r w:rsidRPr="00825198">
              <w:rPr>
                <w:rFonts w:ascii="Arial" w:hAnsi="Arial" w:cs="Arial"/>
                <w:color w:val="FF0000"/>
                <w:sz w:val="14"/>
                <w:szCs w:val="14"/>
              </w:rPr>
              <w:t>świetlica Świerki, Krajanów, Bożków</w:t>
            </w:r>
            <w:r w:rsidRPr="00825198">
              <w:rPr>
                <w:rFonts w:ascii="Arial" w:hAnsi="Arial" w:cs="Arial"/>
                <w:color w:val="000000"/>
                <w:sz w:val="14"/>
                <w:szCs w:val="14"/>
              </w:rPr>
              <w:t>)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636 776,00</w:t>
            </w:r>
          </w:p>
        </w:tc>
      </w:tr>
      <w:tr w:rsidR="00825198" w:rsidRPr="00825198">
        <w:trPr>
          <w:trHeight w:val="51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5 095 206,00</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Partnerstwo </w:t>
            </w:r>
            <w:proofErr w:type="spellStart"/>
            <w:r w:rsidRPr="00825198">
              <w:rPr>
                <w:rFonts w:ascii="Arial" w:hAnsi="Arial" w:cs="Arial"/>
                <w:color w:val="000000"/>
                <w:sz w:val="14"/>
                <w:szCs w:val="14"/>
              </w:rPr>
              <w:t>Noworudzko-Radkowskie-Termomodernizacja</w:t>
            </w:r>
            <w:proofErr w:type="spellEnd"/>
            <w:r w:rsidRPr="00825198">
              <w:rPr>
                <w:rFonts w:ascii="Arial" w:hAnsi="Arial" w:cs="Arial"/>
                <w:color w:val="000000"/>
                <w:sz w:val="14"/>
                <w:szCs w:val="14"/>
              </w:rPr>
              <w:t xml:space="preserve"> i wymiana źródeł ciepła w obiektach sportowych i edukacyjnych (</w:t>
            </w:r>
            <w:r w:rsidRPr="00825198">
              <w:rPr>
                <w:rFonts w:ascii="Arial" w:hAnsi="Arial" w:cs="Arial"/>
                <w:color w:val="FF0000"/>
                <w:sz w:val="14"/>
                <w:szCs w:val="14"/>
              </w:rPr>
              <w:t xml:space="preserve">budynek szkoły w </w:t>
            </w:r>
            <w:proofErr w:type="spellStart"/>
            <w:r w:rsidRPr="00825198">
              <w:rPr>
                <w:rFonts w:ascii="Arial" w:hAnsi="Arial" w:cs="Arial"/>
                <w:color w:val="FF0000"/>
                <w:sz w:val="14"/>
                <w:szCs w:val="14"/>
              </w:rPr>
              <w:t>Bozkowie</w:t>
            </w:r>
            <w:proofErr w:type="spellEnd"/>
            <w:r w:rsidRPr="00825198">
              <w:rPr>
                <w:rFonts w:ascii="Arial" w:hAnsi="Arial" w:cs="Arial"/>
                <w:color w:val="000000"/>
                <w:sz w:val="14"/>
                <w:szCs w:val="14"/>
              </w:rPr>
              <w:t>)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400 000,00</w:t>
            </w:r>
          </w:p>
        </w:tc>
      </w:tr>
      <w:tr w:rsidR="00825198" w:rsidRPr="00825198">
        <w:trPr>
          <w:trHeight w:val="43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1 470 000,00</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Partnerstwo </w:t>
            </w:r>
            <w:proofErr w:type="spellStart"/>
            <w:r w:rsidRPr="00825198">
              <w:rPr>
                <w:rFonts w:ascii="Arial" w:hAnsi="Arial" w:cs="Arial"/>
                <w:color w:val="000000"/>
                <w:sz w:val="14"/>
                <w:szCs w:val="14"/>
              </w:rPr>
              <w:t>Noworudzko-Radkowskie-Modernizacja</w:t>
            </w:r>
            <w:proofErr w:type="spellEnd"/>
            <w:r w:rsidRPr="00825198">
              <w:rPr>
                <w:rFonts w:ascii="Arial" w:hAnsi="Arial" w:cs="Arial"/>
                <w:color w:val="000000"/>
                <w:sz w:val="14"/>
                <w:szCs w:val="14"/>
              </w:rPr>
              <w:t xml:space="preserve"> terenów rekreacyjnych i sportowych (</w:t>
            </w:r>
            <w:r w:rsidRPr="00825198">
              <w:rPr>
                <w:rFonts w:ascii="Arial" w:hAnsi="Arial" w:cs="Arial"/>
                <w:color w:val="FF0000"/>
                <w:sz w:val="14"/>
                <w:szCs w:val="14"/>
              </w:rPr>
              <w:t>sala sportowa Wolibórz</w:t>
            </w:r>
            <w:r w:rsidRPr="00825198">
              <w:rPr>
                <w:rFonts w:ascii="Arial" w:hAnsi="Arial" w:cs="Arial"/>
                <w:color w:val="000000"/>
                <w:sz w:val="14"/>
                <w:szCs w:val="14"/>
              </w:rPr>
              <w:t>)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160 000,00</w:t>
            </w:r>
          </w:p>
        </w:tc>
      </w:tr>
      <w:tr w:rsidR="00825198" w:rsidRPr="00825198">
        <w:trPr>
          <w:trHeight w:val="37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560 000,00</w:t>
            </w:r>
          </w:p>
        </w:tc>
      </w:tr>
      <w:tr w:rsidR="00825198" w:rsidRPr="00825198">
        <w:trPr>
          <w:trHeight w:val="3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Regeneracja przestrzeni publicznej </w:t>
            </w:r>
            <w:proofErr w:type="spellStart"/>
            <w:r w:rsidRPr="00825198">
              <w:rPr>
                <w:rFonts w:ascii="Arial" w:hAnsi="Arial" w:cs="Arial"/>
                <w:color w:val="000000"/>
                <w:sz w:val="14"/>
                <w:szCs w:val="14"/>
              </w:rPr>
              <w:t>Parnerstwa</w:t>
            </w:r>
            <w:proofErr w:type="spellEnd"/>
            <w:r w:rsidRPr="00825198">
              <w:rPr>
                <w:rFonts w:ascii="Arial" w:hAnsi="Arial" w:cs="Arial"/>
                <w:color w:val="000000"/>
                <w:sz w:val="14"/>
                <w:szCs w:val="14"/>
              </w:rPr>
              <w:t xml:space="preserve"> Noworudzko-Radkowskiego na rzecz turystów i mieszkańców - </w:t>
            </w:r>
            <w:r w:rsidRPr="00825198">
              <w:rPr>
                <w:rFonts w:ascii="Arial" w:hAnsi="Arial" w:cs="Arial"/>
                <w:color w:val="FF0000"/>
                <w:sz w:val="14"/>
                <w:szCs w:val="14"/>
              </w:rPr>
              <w:t>zagospodarowanie zalewu w Dzikowcu- etap II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39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1 131 429,00</w:t>
            </w:r>
          </w:p>
        </w:tc>
      </w:tr>
      <w:tr w:rsidR="00825198" w:rsidRPr="00825198">
        <w:trPr>
          <w:trHeight w:val="27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Partnerstwo </w:t>
            </w:r>
            <w:proofErr w:type="spellStart"/>
            <w:r w:rsidRPr="00825198">
              <w:rPr>
                <w:rFonts w:ascii="Arial" w:hAnsi="Arial" w:cs="Arial"/>
                <w:color w:val="000000"/>
                <w:sz w:val="14"/>
                <w:szCs w:val="14"/>
              </w:rPr>
              <w:t>Noworudzko-Radkowskie-Termomodernizacja</w:t>
            </w:r>
            <w:proofErr w:type="spellEnd"/>
            <w:r w:rsidRPr="00825198">
              <w:rPr>
                <w:rFonts w:ascii="Arial" w:hAnsi="Arial" w:cs="Arial"/>
                <w:color w:val="000000"/>
                <w:sz w:val="14"/>
                <w:szCs w:val="14"/>
              </w:rPr>
              <w:t xml:space="preserve"> i wymiana źródeł ciepła w obiektach </w:t>
            </w:r>
            <w:proofErr w:type="spellStart"/>
            <w:r w:rsidRPr="00825198">
              <w:rPr>
                <w:rFonts w:ascii="Arial" w:hAnsi="Arial" w:cs="Arial"/>
                <w:color w:val="000000"/>
                <w:sz w:val="14"/>
                <w:szCs w:val="14"/>
              </w:rPr>
              <w:t>kulturalnych,społecznych</w:t>
            </w:r>
            <w:proofErr w:type="spellEnd"/>
            <w:r w:rsidRPr="00825198">
              <w:rPr>
                <w:rFonts w:ascii="Arial" w:hAnsi="Arial" w:cs="Arial"/>
                <w:color w:val="000000"/>
                <w:sz w:val="14"/>
                <w:szCs w:val="14"/>
              </w:rPr>
              <w:t xml:space="preserve"> i turystycznych (</w:t>
            </w:r>
            <w:r w:rsidRPr="00825198">
              <w:rPr>
                <w:rFonts w:ascii="Arial" w:hAnsi="Arial" w:cs="Arial"/>
                <w:color w:val="FF0000"/>
                <w:sz w:val="14"/>
                <w:szCs w:val="14"/>
              </w:rPr>
              <w:t>Wolibórz 115)</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320 000,00</w:t>
            </w:r>
          </w:p>
        </w:tc>
      </w:tr>
      <w:tr w:rsidR="00825198" w:rsidRPr="00825198">
        <w:trPr>
          <w:trHeight w:val="53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420 000,00</w:t>
            </w:r>
          </w:p>
        </w:tc>
      </w:tr>
      <w:tr w:rsidR="00825198" w:rsidRPr="00825198">
        <w:trPr>
          <w:trHeight w:val="26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Termo-zabytki (</w:t>
            </w:r>
            <w:r w:rsidRPr="00825198">
              <w:rPr>
                <w:rFonts w:ascii="Arial" w:hAnsi="Arial" w:cs="Arial"/>
                <w:color w:val="FF0000"/>
                <w:sz w:val="14"/>
                <w:szCs w:val="14"/>
              </w:rPr>
              <w:t>budynek Wolibórz 55)</w:t>
            </w:r>
            <w:r w:rsidRPr="00825198">
              <w:rPr>
                <w:rFonts w:ascii="Arial" w:hAnsi="Arial" w:cs="Arial"/>
                <w:color w:val="000000"/>
                <w:sz w:val="14"/>
                <w:szCs w:val="14"/>
              </w:rPr>
              <w:t xml:space="preserve">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29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2 758 000,00</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lastRenderedPageBreak/>
              <w:t xml:space="preserve">Bioróżnorodność - </w:t>
            </w:r>
            <w:r w:rsidRPr="00825198">
              <w:rPr>
                <w:rFonts w:ascii="Arial" w:hAnsi="Arial" w:cs="Arial"/>
                <w:color w:val="FF0000"/>
                <w:sz w:val="14"/>
                <w:szCs w:val="14"/>
              </w:rPr>
              <w:t>zagospodarowanie terenów przy Centrum Kultury oraz terenu obok pomnika przyrody w Bożkowie -</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262 857,00</w:t>
            </w:r>
          </w:p>
        </w:tc>
      </w:tr>
      <w:tr w:rsidR="00825198" w:rsidRPr="00825198">
        <w:trPr>
          <w:trHeight w:val="29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919 000,00</w:t>
            </w:r>
          </w:p>
        </w:tc>
      </w:tr>
      <w:tr w:rsidR="00825198" w:rsidRPr="00825198">
        <w:trPr>
          <w:trHeight w:val="26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Bioróżnorodność :</w:t>
            </w:r>
            <w:r w:rsidRPr="00825198">
              <w:rPr>
                <w:rFonts w:ascii="Arial" w:hAnsi="Arial" w:cs="Arial"/>
                <w:color w:val="FF0000"/>
                <w:sz w:val="14"/>
                <w:szCs w:val="14"/>
              </w:rPr>
              <w:t xml:space="preserve"> zagospodarowanie zbiornika wodnego w Dzikowcu</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240 000,00</w:t>
            </w:r>
          </w:p>
        </w:tc>
      </w:tr>
      <w:tr w:rsidR="00825198" w:rsidRPr="00825198">
        <w:trPr>
          <w:trHeight w:val="25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900 000,00</w:t>
            </w:r>
          </w:p>
        </w:tc>
      </w:tr>
      <w:tr w:rsidR="00825198" w:rsidRPr="00825198">
        <w:trPr>
          <w:trHeight w:val="25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Zagospodarowanie zbiornika wodnego</w:t>
            </w:r>
            <w:r w:rsidRPr="00825198">
              <w:rPr>
                <w:rFonts w:ascii="Arial" w:hAnsi="Arial" w:cs="Arial"/>
                <w:color w:val="000000"/>
                <w:sz w:val="14"/>
                <w:szCs w:val="14"/>
              </w:rPr>
              <w:t xml:space="preserve"> wraz z budową infrastruktury rekreacyjnej </w:t>
            </w:r>
            <w:r w:rsidRPr="00825198">
              <w:rPr>
                <w:rFonts w:ascii="Arial" w:hAnsi="Arial" w:cs="Arial"/>
                <w:color w:val="FF0000"/>
                <w:sz w:val="14"/>
                <w:szCs w:val="14"/>
              </w:rPr>
              <w:t>w Dzikowcu - ETAP II</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251 429,00</w:t>
            </w:r>
          </w:p>
        </w:tc>
      </w:tr>
      <w:tr w:rsidR="00825198" w:rsidRPr="00825198">
        <w:trPr>
          <w:trHeight w:val="25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105 000,00</w:t>
            </w:r>
          </w:p>
        </w:tc>
      </w:tr>
      <w:tr w:rsidR="00825198" w:rsidRPr="00825198">
        <w:trPr>
          <w:trHeight w:val="56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Arial" w:hAnsi="Arial" w:cs="Arial"/>
                <w:color w:val="000000"/>
                <w:sz w:val="14"/>
                <w:szCs w:val="14"/>
              </w:rPr>
            </w:pPr>
            <w:r w:rsidRPr="00825198">
              <w:rPr>
                <w:rFonts w:ascii="Arial" w:hAnsi="Arial" w:cs="Arial"/>
                <w:color w:val="FF0000"/>
                <w:sz w:val="14"/>
                <w:szCs w:val="14"/>
              </w:rPr>
              <w:t xml:space="preserve">REFUNDACJA Z 2023 ROKU </w:t>
            </w:r>
            <w:r w:rsidRPr="00825198">
              <w:rPr>
                <w:rFonts w:ascii="Arial" w:hAnsi="Arial" w:cs="Arial"/>
                <w:color w:val="000000"/>
                <w:sz w:val="14"/>
                <w:szCs w:val="14"/>
              </w:rPr>
              <w:t xml:space="preserve">; WYSOKOEMISYJNE ŹRÓDŁA, ŚWIETLICA ŚWIERKI ORAZ PRZEBUDOWA DROGI SOKOLEC </w:t>
            </w:r>
          </w:p>
        </w:tc>
        <w:tc>
          <w:tcPr>
            <w:tcW w:w="162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1 314 477,00</w:t>
            </w:r>
          </w:p>
        </w:tc>
      </w:tr>
      <w:tr w:rsidR="00825198" w:rsidRPr="00825198">
        <w:trPr>
          <w:trHeight w:val="30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Termomodernizacja 5 budynków mieszkalnych</w:t>
            </w:r>
            <w:r w:rsidRPr="00825198">
              <w:rPr>
                <w:rFonts w:ascii="Arial" w:hAnsi="Arial" w:cs="Arial"/>
                <w:color w:val="000000"/>
                <w:sz w:val="14"/>
                <w:szCs w:val="14"/>
              </w:rPr>
              <w:t xml:space="preserve"> w ramach działania FEDS.09.05 Transformacja energetyczna -</w:t>
            </w:r>
          </w:p>
        </w:tc>
        <w:tc>
          <w:tcPr>
            <w:tcW w:w="1620" w:type="dxa"/>
            <w:tcBorders>
              <w:top w:val="nil"/>
              <w:left w:val="nil"/>
              <w:bottom w:val="single" w:sz="4" w:space="0" w:color="000000"/>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single" w:sz="4" w:space="0" w:color="auto"/>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2 904 462,00</w:t>
            </w:r>
          </w:p>
        </w:tc>
      </w:tr>
      <w:tr w:rsidR="00825198" w:rsidRPr="00825198">
        <w:trPr>
          <w:trHeight w:val="30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nil"/>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single" w:sz="4" w:space="0" w:color="auto"/>
              <w:bottom w:val="nil"/>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2 800 000,00</w:t>
            </w:r>
          </w:p>
        </w:tc>
      </w:tr>
      <w:tr w:rsidR="00825198" w:rsidRPr="00825198">
        <w:trPr>
          <w:trHeight w:val="34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KULTURA BEZ GRANIC</w:t>
            </w:r>
            <w:r w:rsidRPr="00825198">
              <w:rPr>
                <w:rFonts w:ascii="Arial" w:hAnsi="Arial" w:cs="Arial"/>
                <w:color w:val="000000"/>
                <w:sz w:val="14"/>
                <w:szCs w:val="14"/>
              </w:rPr>
              <w:t xml:space="preserve"> - zakupy inwestycyjne</w:t>
            </w:r>
          </w:p>
        </w:tc>
        <w:tc>
          <w:tcPr>
            <w:tcW w:w="1620" w:type="dxa"/>
            <w:tcBorders>
              <w:top w:val="single" w:sz="4" w:space="0" w:color="auto"/>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single" w:sz="4" w:space="0" w:color="auto"/>
              <w:left w:val="nil"/>
              <w:bottom w:val="nil"/>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58 400,00</w:t>
            </w:r>
          </w:p>
        </w:tc>
      </w:tr>
      <w:tr w:rsidR="00825198" w:rsidRPr="00825198">
        <w:trPr>
          <w:trHeight w:val="20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 xml:space="preserve">CYKLOREGION II </w:t>
            </w:r>
            <w:r w:rsidRPr="00825198">
              <w:rPr>
                <w:rFonts w:ascii="Arial" w:hAnsi="Arial" w:cs="Arial"/>
                <w:color w:val="000000"/>
                <w:sz w:val="14"/>
                <w:szCs w:val="14"/>
              </w:rPr>
              <w:t>: ścieżka rowerowa Bożków</w:t>
            </w:r>
          </w:p>
        </w:tc>
        <w:tc>
          <w:tcPr>
            <w:tcW w:w="1620" w:type="dxa"/>
            <w:tcBorders>
              <w:top w:val="nil"/>
              <w:left w:val="nil"/>
              <w:bottom w:val="nil"/>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single" w:sz="4" w:space="0" w:color="auto"/>
              <w:left w:val="single" w:sz="4" w:space="0" w:color="auto"/>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608 000,00</w:t>
            </w:r>
          </w:p>
        </w:tc>
      </w:tr>
      <w:tr w:rsidR="00825198" w:rsidRPr="00825198">
        <w:trPr>
          <w:trHeight w:val="20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608 000,00</w:t>
            </w:r>
          </w:p>
        </w:tc>
      </w:tr>
      <w:tr w:rsidR="00825198" w:rsidRPr="00825198">
        <w:trPr>
          <w:trHeight w:val="240"/>
        </w:trPr>
        <w:tc>
          <w:tcPr>
            <w:tcW w:w="3480" w:type="dxa"/>
            <w:vMerge w:val="restart"/>
            <w:tcBorders>
              <w:top w:val="nil"/>
              <w:left w:val="nil"/>
              <w:bottom w:val="single" w:sz="4" w:space="0" w:color="000000"/>
              <w:right w:val="single" w:sz="4" w:space="0" w:color="auto"/>
            </w:tcBorders>
            <w:shd w:val="clear" w:color="auto" w:fill="DDEBF7"/>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b/>
                <w:bCs/>
                <w:sz w:val="16"/>
                <w:szCs w:val="16"/>
              </w:rPr>
            </w:pPr>
            <w:r w:rsidRPr="00825198">
              <w:rPr>
                <w:rFonts w:ascii="Calibri" w:hAnsi="Calibri" w:cs="Calibri"/>
                <w:color w:val="FF0000"/>
                <w:sz w:val="16"/>
                <w:szCs w:val="16"/>
              </w:rPr>
              <w:t>TRÓJSTYK PL-CZ</w:t>
            </w:r>
            <w:r w:rsidRPr="00825198">
              <w:rPr>
                <w:rFonts w:ascii="Calibri" w:hAnsi="Calibri" w:cs="Calibri"/>
                <w:b/>
                <w:bCs/>
                <w:sz w:val="16"/>
                <w:szCs w:val="16"/>
              </w:rPr>
              <w:t xml:space="preserve">: </w:t>
            </w:r>
            <w:r w:rsidRPr="00825198">
              <w:rPr>
                <w:rFonts w:ascii="Calibri" w:hAnsi="Calibri" w:cs="Calibri"/>
                <w:sz w:val="16"/>
                <w:szCs w:val="16"/>
              </w:rPr>
              <w:t>odbudowa wieży na Grodziszczu</w:t>
            </w:r>
          </w:p>
        </w:tc>
        <w:tc>
          <w:tcPr>
            <w:tcW w:w="1620" w:type="dxa"/>
            <w:tcBorders>
              <w:top w:val="nil"/>
              <w:left w:val="nil"/>
              <w:bottom w:val="single" w:sz="4" w:space="0" w:color="000000"/>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single" w:sz="4" w:space="0" w:color="auto"/>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240"/>
        </w:trPr>
        <w:tc>
          <w:tcPr>
            <w:tcW w:w="3480" w:type="dxa"/>
            <w:vMerge/>
            <w:tcBorders>
              <w:top w:val="nil"/>
              <w:left w:val="nil"/>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nil"/>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single" w:sz="4" w:space="0" w:color="auto"/>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1 280 000,00</w:t>
            </w:r>
          </w:p>
        </w:tc>
      </w:tr>
      <w:tr w:rsidR="00825198" w:rsidRPr="00825198">
        <w:trPr>
          <w:trHeight w:val="360"/>
        </w:trPr>
        <w:tc>
          <w:tcPr>
            <w:tcW w:w="3480" w:type="dxa"/>
            <w:vMerge w:val="restart"/>
            <w:tcBorders>
              <w:top w:val="nil"/>
              <w:left w:val="nil"/>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Renowacja istniejących budynków</w:t>
            </w:r>
            <w:r w:rsidRPr="00825198">
              <w:rPr>
                <w:rFonts w:ascii="Arial" w:hAnsi="Arial" w:cs="Arial"/>
                <w:color w:val="000000"/>
                <w:sz w:val="14"/>
                <w:szCs w:val="14"/>
              </w:rPr>
              <w:t xml:space="preserve">- projekt grantowy </w:t>
            </w:r>
            <w:r w:rsidRPr="00825198">
              <w:rPr>
                <w:rFonts w:ascii="Arial" w:hAnsi="Arial" w:cs="Arial"/>
                <w:color w:val="FF0000"/>
                <w:sz w:val="14"/>
                <w:szCs w:val="14"/>
              </w:rPr>
              <w:t xml:space="preserve">za pośrednictwem IPAW </w:t>
            </w:r>
            <w:r w:rsidRPr="00825198">
              <w:rPr>
                <w:rFonts w:ascii="Arial" w:hAnsi="Arial" w:cs="Arial"/>
                <w:color w:val="000000"/>
                <w:sz w:val="14"/>
                <w:szCs w:val="14"/>
              </w:rPr>
              <w:t>(środki FEDS)</w:t>
            </w:r>
          </w:p>
        </w:tc>
        <w:tc>
          <w:tcPr>
            <w:tcW w:w="1620" w:type="dxa"/>
            <w:tcBorders>
              <w:top w:val="single" w:sz="4" w:space="0" w:color="auto"/>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390"/>
        </w:trPr>
        <w:tc>
          <w:tcPr>
            <w:tcW w:w="3480" w:type="dxa"/>
            <w:vMerge/>
            <w:tcBorders>
              <w:top w:val="nil"/>
              <w:left w:val="nil"/>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4 716 413,00</w:t>
            </w:r>
          </w:p>
        </w:tc>
      </w:tr>
      <w:tr w:rsidR="00825198" w:rsidRPr="00825198">
        <w:trPr>
          <w:trHeight w:val="520"/>
        </w:trPr>
        <w:tc>
          <w:tcPr>
            <w:tcW w:w="3480" w:type="dxa"/>
            <w:vMerge w:val="restart"/>
            <w:tcBorders>
              <w:top w:val="nil"/>
              <w:left w:val="nil"/>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sz w:val="14"/>
                <w:szCs w:val="14"/>
              </w:rPr>
              <w:t xml:space="preserve">Partnerstwo Noworudzko-Radkowskie- </w:t>
            </w:r>
            <w:r w:rsidRPr="00825198">
              <w:rPr>
                <w:rFonts w:ascii="Arial" w:hAnsi="Arial" w:cs="Arial"/>
                <w:color w:val="FF0000"/>
                <w:sz w:val="14"/>
                <w:szCs w:val="14"/>
              </w:rPr>
              <w:t>Termomodernizacja budynku Urzędu Gminy ul. Niepodległości 2 i 4</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800 000,00</w:t>
            </w:r>
          </w:p>
        </w:tc>
      </w:tr>
      <w:tr w:rsidR="00825198" w:rsidRPr="00825198">
        <w:trPr>
          <w:trHeight w:val="290"/>
        </w:trPr>
        <w:tc>
          <w:tcPr>
            <w:tcW w:w="3480" w:type="dxa"/>
            <w:vMerge/>
            <w:tcBorders>
              <w:top w:val="nil"/>
              <w:left w:val="nil"/>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2 674 000,00</w:t>
            </w:r>
          </w:p>
        </w:tc>
      </w:tr>
      <w:tr w:rsidR="00825198" w:rsidRPr="00825198">
        <w:trPr>
          <w:trHeight w:val="54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Budowa przydomowych oczyszczalni</w:t>
            </w:r>
            <w:r w:rsidRPr="00825198">
              <w:rPr>
                <w:rFonts w:ascii="Arial" w:hAnsi="Arial" w:cs="Arial"/>
                <w:color w:val="000000"/>
                <w:sz w:val="14"/>
                <w:szCs w:val="14"/>
              </w:rPr>
              <w:t xml:space="preserve"> ścieków w Gminie Nowa Ruda - III etap</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1 646 000,00</w:t>
            </w:r>
          </w:p>
        </w:tc>
      </w:tr>
      <w:tr w:rsidR="00825198" w:rsidRPr="00825198">
        <w:trPr>
          <w:trHeight w:val="44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xml:space="preserve">Partnerstwo </w:t>
            </w:r>
            <w:proofErr w:type="spellStart"/>
            <w:r w:rsidRPr="00825198">
              <w:rPr>
                <w:rFonts w:ascii="Arial" w:hAnsi="Arial" w:cs="Arial"/>
                <w:color w:val="000000"/>
                <w:sz w:val="14"/>
                <w:szCs w:val="14"/>
              </w:rPr>
              <w:t>Noworudzko-Radkowskie-Modernizacja</w:t>
            </w:r>
            <w:proofErr w:type="spellEnd"/>
            <w:r w:rsidRPr="00825198">
              <w:rPr>
                <w:rFonts w:ascii="Arial" w:hAnsi="Arial" w:cs="Arial"/>
                <w:color w:val="000000"/>
                <w:sz w:val="14"/>
                <w:szCs w:val="14"/>
              </w:rPr>
              <w:t xml:space="preserve"> terenów rekreacyjnych i sportowych (</w:t>
            </w:r>
            <w:r w:rsidRPr="00825198">
              <w:rPr>
                <w:rFonts w:ascii="Arial" w:hAnsi="Arial" w:cs="Arial"/>
                <w:color w:val="FF0000"/>
                <w:sz w:val="14"/>
                <w:szCs w:val="14"/>
              </w:rPr>
              <w:t>kąpielisko Jugów- ETAP II</w:t>
            </w:r>
            <w:r w:rsidRPr="00825198">
              <w:rPr>
                <w:rFonts w:ascii="Arial" w:hAnsi="Arial" w:cs="Arial"/>
                <w:color w:val="000000"/>
                <w:sz w:val="14"/>
                <w:szCs w:val="14"/>
              </w:rPr>
              <w:t>)</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33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108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 xml:space="preserve">"Cyfrowy samorząd" </w:t>
            </w:r>
            <w:r w:rsidRPr="00825198">
              <w:rPr>
                <w:rFonts w:ascii="Arial" w:hAnsi="Arial" w:cs="Arial"/>
                <w:color w:val="000000"/>
                <w:sz w:val="14"/>
                <w:szCs w:val="14"/>
              </w:rPr>
              <w:t>w ramach w ramach Programu Operacyjnego Fundusze</w:t>
            </w:r>
            <w:r w:rsidRPr="00825198">
              <w:rPr>
                <w:rFonts w:ascii="Arial" w:hAnsi="Arial" w:cs="Arial"/>
                <w:color w:val="000000"/>
                <w:sz w:val="14"/>
                <w:szCs w:val="14"/>
              </w:rPr>
              <w:br/>
              <w:t>Europejskie na Rozwój Cyfrowy 2021–2027 (FERC) Działanie 2.2.</w:t>
            </w:r>
            <w:r w:rsidRPr="00825198">
              <w:rPr>
                <w:rFonts w:ascii="Arial" w:hAnsi="Arial" w:cs="Arial"/>
                <w:color w:val="000000"/>
                <w:sz w:val="14"/>
                <w:szCs w:val="14"/>
              </w:rPr>
              <w:br/>
              <w:t xml:space="preserve">pn. „Wzmocnienie krajowego systemu </w:t>
            </w:r>
            <w:proofErr w:type="spellStart"/>
            <w:r w:rsidRPr="00825198">
              <w:rPr>
                <w:rFonts w:ascii="Arial" w:hAnsi="Arial" w:cs="Arial"/>
                <w:color w:val="000000"/>
                <w:sz w:val="14"/>
                <w:szCs w:val="14"/>
              </w:rPr>
              <w:t>cyberbezpieczeństwa</w:t>
            </w:r>
            <w:proofErr w:type="spellEnd"/>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444 800,00</w:t>
            </w:r>
          </w:p>
        </w:tc>
      </w:tr>
      <w:tr w:rsidR="00825198" w:rsidRPr="00825198">
        <w:trPr>
          <w:trHeight w:val="36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Przebudowa drogi Dzikowiec</w:t>
            </w:r>
            <w:r w:rsidRPr="00825198">
              <w:rPr>
                <w:rFonts w:ascii="Arial" w:hAnsi="Arial" w:cs="Arial"/>
                <w:color w:val="000000"/>
                <w:sz w:val="14"/>
                <w:szCs w:val="14"/>
              </w:rPr>
              <w:t xml:space="preserve"> dz. 111/20 - w ramach PROW i POLSKI ŁAD</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673 424,00</w:t>
            </w:r>
          </w:p>
        </w:tc>
      </w:tr>
      <w:tr w:rsidR="00825198" w:rsidRPr="00825198">
        <w:trPr>
          <w:trHeight w:val="86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Arial" w:hAnsi="Arial" w:cs="Arial"/>
                <w:color w:val="000000"/>
                <w:sz w:val="14"/>
                <w:szCs w:val="14"/>
              </w:rPr>
            </w:pPr>
            <w:r w:rsidRPr="00825198">
              <w:rPr>
                <w:rFonts w:ascii="Arial" w:hAnsi="Arial" w:cs="Arial"/>
                <w:color w:val="000000"/>
                <w:sz w:val="14"/>
                <w:szCs w:val="14"/>
              </w:rPr>
              <w:t>"</w:t>
            </w:r>
            <w:proofErr w:type="spellStart"/>
            <w:r w:rsidRPr="00825198">
              <w:rPr>
                <w:rFonts w:ascii="Arial" w:hAnsi="Arial" w:cs="Arial"/>
                <w:color w:val="000000"/>
                <w:sz w:val="14"/>
                <w:szCs w:val="14"/>
              </w:rPr>
              <w:t>Wiem,umiem</w:t>
            </w:r>
            <w:proofErr w:type="spellEnd"/>
            <w:r w:rsidRPr="00825198">
              <w:rPr>
                <w:rFonts w:ascii="Arial" w:hAnsi="Arial" w:cs="Arial"/>
                <w:color w:val="000000"/>
                <w:sz w:val="14"/>
                <w:szCs w:val="14"/>
              </w:rPr>
              <w:t xml:space="preserve">/potrafię i lubię przedszkole-wsparcie edukacyjne placówek wychowania przedszkolnego prowadzonych przez Gminę Nowa Ruda"- </w:t>
            </w:r>
            <w:r w:rsidRPr="00825198">
              <w:rPr>
                <w:rFonts w:ascii="Arial" w:hAnsi="Arial" w:cs="Arial"/>
                <w:color w:val="FF0000"/>
                <w:sz w:val="14"/>
                <w:szCs w:val="14"/>
              </w:rPr>
              <w:t>Fundusze Europejskie dla edukacji na Dolnym Śląsku</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11 839,00</w:t>
            </w:r>
          </w:p>
        </w:tc>
      </w:tr>
      <w:tr w:rsidR="00825198" w:rsidRPr="00825198">
        <w:trPr>
          <w:trHeight w:val="29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Arial" w:hAnsi="Arial" w:cs="Arial"/>
                <w:color w:val="000000"/>
                <w:sz w:val="14"/>
                <w:szCs w:val="14"/>
              </w:rPr>
            </w:pPr>
            <w:r w:rsidRPr="00825198">
              <w:rPr>
                <w:rFonts w:ascii="Arial" w:hAnsi="Arial" w:cs="Arial"/>
                <w:color w:val="000000"/>
                <w:sz w:val="14"/>
                <w:szCs w:val="14"/>
              </w:rPr>
              <w:t> </w:t>
            </w:r>
          </w:p>
        </w:tc>
        <w:tc>
          <w:tcPr>
            <w:tcW w:w="1620" w:type="dxa"/>
            <w:tcBorders>
              <w:top w:val="nil"/>
              <w:left w:val="nil"/>
              <w:bottom w:val="single" w:sz="4" w:space="0" w:color="auto"/>
              <w:right w:val="single" w:sz="4" w:space="0" w:color="auto"/>
            </w:tcBorders>
            <w:shd w:val="clear" w:color="auto" w:fill="BDD7EE"/>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825198">
              <w:rPr>
                <w:rFonts w:ascii="Arial" w:hAnsi="Arial" w:cs="Arial"/>
                <w:b/>
                <w:bCs/>
                <w:sz w:val="16"/>
                <w:szCs w:val="16"/>
              </w:rPr>
              <w:t>2024</w:t>
            </w:r>
          </w:p>
        </w:tc>
        <w:tc>
          <w:tcPr>
            <w:tcW w:w="1340" w:type="dxa"/>
            <w:tcBorders>
              <w:top w:val="nil"/>
              <w:left w:val="nil"/>
              <w:bottom w:val="single" w:sz="4" w:space="0" w:color="auto"/>
              <w:right w:val="single" w:sz="4" w:space="0" w:color="auto"/>
            </w:tcBorders>
            <w:shd w:val="clear" w:color="auto" w:fill="BDD7EE"/>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825198">
              <w:rPr>
                <w:rFonts w:ascii="Arial" w:hAnsi="Arial" w:cs="Arial"/>
                <w:b/>
                <w:bCs/>
                <w:sz w:val="16"/>
                <w:szCs w:val="16"/>
              </w:rPr>
              <w:t>12 765 925,00</w:t>
            </w:r>
          </w:p>
        </w:tc>
      </w:tr>
      <w:tr w:rsidR="00825198" w:rsidRPr="00825198">
        <w:trPr>
          <w:trHeight w:val="290"/>
        </w:trPr>
        <w:tc>
          <w:tcPr>
            <w:tcW w:w="348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Arial" w:hAnsi="Arial" w:cs="Arial"/>
                <w:color w:val="000000"/>
                <w:sz w:val="14"/>
                <w:szCs w:val="14"/>
              </w:rPr>
            </w:pPr>
            <w:r w:rsidRPr="00825198">
              <w:rPr>
                <w:rFonts w:ascii="Arial" w:hAnsi="Arial" w:cs="Arial"/>
                <w:color w:val="000000"/>
                <w:sz w:val="14"/>
                <w:szCs w:val="14"/>
              </w:rPr>
              <w:t> </w:t>
            </w:r>
          </w:p>
        </w:tc>
        <w:tc>
          <w:tcPr>
            <w:tcW w:w="1620" w:type="dxa"/>
            <w:tcBorders>
              <w:top w:val="nil"/>
              <w:left w:val="nil"/>
              <w:bottom w:val="single" w:sz="4" w:space="0" w:color="auto"/>
              <w:right w:val="single" w:sz="4" w:space="0" w:color="auto"/>
            </w:tcBorders>
            <w:shd w:val="clear" w:color="auto" w:fill="BDD7EE"/>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825198">
              <w:rPr>
                <w:rFonts w:ascii="Arial" w:hAnsi="Arial" w:cs="Arial"/>
                <w:b/>
                <w:bCs/>
                <w:sz w:val="16"/>
                <w:szCs w:val="16"/>
              </w:rPr>
              <w:t>2025</w:t>
            </w:r>
          </w:p>
        </w:tc>
        <w:tc>
          <w:tcPr>
            <w:tcW w:w="1340" w:type="dxa"/>
            <w:tcBorders>
              <w:top w:val="nil"/>
              <w:left w:val="nil"/>
              <w:bottom w:val="single" w:sz="4" w:space="0" w:color="auto"/>
              <w:right w:val="single" w:sz="4" w:space="0" w:color="auto"/>
            </w:tcBorders>
            <w:shd w:val="clear" w:color="auto" w:fill="BDD7EE"/>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825198">
              <w:rPr>
                <w:rFonts w:ascii="Arial" w:hAnsi="Arial" w:cs="Arial"/>
                <w:b/>
                <w:bCs/>
                <w:sz w:val="16"/>
                <w:szCs w:val="16"/>
              </w:rPr>
              <w:t>34 151 298,00</w:t>
            </w:r>
          </w:p>
        </w:tc>
      </w:tr>
    </w:tbl>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825198" w:rsidRPr="00825198" w:rsidRDefault="00825198" w:rsidP="008251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Calibri" w:hAnsi="Calibri" w:cs="Calibri"/>
        </w:rPr>
      </w:pPr>
      <w:r w:rsidRPr="00825198">
        <w:rPr>
          <w:rFonts w:ascii="Times New Roman" w:hAnsi="Times New Roman" w:cs="Times New Roman"/>
          <w:sz w:val="20"/>
          <w:szCs w:val="20"/>
        </w:rPr>
        <w:t xml:space="preserve">Po stronie dochodów bieżących przyjęto kwoty wynikające z poniższych projektów : </w:t>
      </w:r>
    </w:p>
    <w:tbl>
      <w:tblPr>
        <w:tblW w:w="0" w:type="auto"/>
        <w:tblLayout w:type="fixed"/>
        <w:tblCellMar>
          <w:left w:w="70" w:type="dxa"/>
          <w:right w:w="70" w:type="dxa"/>
        </w:tblCellMar>
        <w:tblLook w:val="0000" w:firstRow="0" w:lastRow="0" w:firstColumn="0" w:lastColumn="0" w:noHBand="0" w:noVBand="0"/>
      </w:tblPr>
      <w:tblGrid>
        <w:gridCol w:w="3480"/>
        <w:gridCol w:w="1620"/>
        <w:gridCol w:w="1340"/>
      </w:tblGrid>
      <w:tr w:rsidR="00825198" w:rsidRPr="00825198">
        <w:trPr>
          <w:trHeight w:val="290"/>
        </w:trPr>
        <w:tc>
          <w:tcPr>
            <w:tcW w:w="3480" w:type="dxa"/>
            <w:vMerge w:val="restart"/>
            <w:tcBorders>
              <w:top w:val="single" w:sz="4" w:space="0" w:color="auto"/>
              <w:left w:val="single" w:sz="4" w:space="0" w:color="auto"/>
              <w:bottom w:val="single" w:sz="4" w:space="0" w:color="000000"/>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nazwa zadania</w:t>
            </w:r>
          </w:p>
        </w:tc>
        <w:tc>
          <w:tcPr>
            <w:tcW w:w="1620" w:type="dxa"/>
            <w:vMerge w:val="restart"/>
            <w:tcBorders>
              <w:top w:val="single" w:sz="4" w:space="0" w:color="auto"/>
              <w:left w:val="single" w:sz="4" w:space="0" w:color="auto"/>
              <w:bottom w:val="single" w:sz="4" w:space="0" w:color="000000"/>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lata</w:t>
            </w:r>
          </w:p>
        </w:tc>
        <w:tc>
          <w:tcPr>
            <w:tcW w:w="1340" w:type="dxa"/>
            <w:tcBorders>
              <w:top w:val="single" w:sz="4" w:space="0" w:color="auto"/>
              <w:left w:val="nil"/>
              <w:bottom w:val="nil"/>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DOCHODY</w:t>
            </w:r>
          </w:p>
        </w:tc>
      </w:tr>
      <w:tr w:rsidR="00825198" w:rsidRPr="00825198">
        <w:trPr>
          <w:trHeight w:val="29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Calibri"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Calibri" w:hAnsi="Calibri" w:cs="Calibri"/>
                <w:color w:val="000000"/>
              </w:rPr>
            </w:pPr>
          </w:p>
        </w:tc>
        <w:tc>
          <w:tcPr>
            <w:tcW w:w="1340" w:type="dxa"/>
            <w:tcBorders>
              <w:top w:val="single" w:sz="4" w:space="0" w:color="auto"/>
              <w:left w:val="nil"/>
              <w:bottom w:val="single" w:sz="4" w:space="0" w:color="auto"/>
              <w:right w:val="single" w:sz="4" w:space="0" w:color="auto"/>
            </w:tcBorders>
            <w:vAlign w:val="bottom"/>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825198">
              <w:rPr>
                <w:rFonts w:ascii="Calibri" w:hAnsi="Calibri" w:cs="Calibri"/>
                <w:color w:val="000000"/>
              </w:rPr>
              <w:t>UE</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"CYKLOREGION II"</w:t>
            </w:r>
            <w:r w:rsidRPr="00825198">
              <w:rPr>
                <w:rFonts w:ascii="Arial" w:hAnsi="Arial" w:cs="Arial"/>
                <w:color w:val="000000"/>
                <w:sz w:val="14"/>
                <w:szCs w:val="14"/>
              </w:rPr>
              <w:t>- Europejski Fundusz Rozwoju Regionalnego</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23 400,00</w:t>
            </w:r>
          </w:p>
        </w:tc>
      </w:tr>
      <w:tr w:rsidR="00825198" w:rsidRPr="00825198">
        <w:trPr>
          <w:trHeight w:val="26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62 000,00</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"TRÓJSTYK PL-CZ</w:t>
            </w:r>
            <w:r w:rsidRPr="00825198">
              <w:rPr>
                <w:rFonts w:ascii="Arial" w:hAnsi="Arial" w:cs="Arial"/>
                <w:color w:val="000000"/>
                <w:sz w:val="14"/>
                <w:szCs w:val="14"/>
              </w:rPr>
              <w:t>: odbudowa wieży na Grodziszczu" - Europejski Fundusz Rozwoju Regionalnego</w:t>
            </w: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29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57 800,00</w:t>
            </w:r>
          </w:p>
        </w:tc>
      </w:tr>
      <w:tr w:rsidR="00825198" w:rsidRPr="00825198">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t>"Cyfrowy samorząd</w:t>
            </w:r>
            <w:r w:rsidRPr="00825198">
              <w:rPr>
                <w:rFonts w:ascii="Arial" w:hAnsi="Arial" w:cs="Arial"/>
                <w:color w:val="000000"/>
                <w:sz w:val="14"/>
                <w:szCs w:val="14"/>
              </w:rPr>
              <w:t>" w ramach w ramach Programu Operacyjnego Fundusze</w:t>
            </w:r>
            <w:r w:rsidRPr="00825198">
              <w:rPr>
                <w:rFonts w:ascii="Arial" w:hAnsi="Arial" w:cs="Arial"/>
                <w:color w:val="000000"/>
                <w:sz w:val="14"/>
                <w:szCs w:val="14"/>
              </w:rPr>
              <w:br/>
              <w:t>Europejskie na Rozwój Cyfrowy 2021–2027 (FERC) Działanie 2.2.</w:t>
            </w:r>
            <w:r w:rsidRPr="00825198">
              <w:rPr>
                <w:rFonts w:ascii="Arial" w:hAnsi="Arial" w:cs="Arial"/>
                <w:color w:val="000000"/>
                <w:sz w:val="14"/>
                <w:szCs w:val="14"/>
              </w:rPr>
              <w:br/>
              <w:t xml:space="preserve">pn. „Wzmocnienie krajowego systemu </w:t>
            </w:r>
            <w:proofErr w:type="spellStart"/>
            <w:r w:rsidRPr="00825198">
              <w:rPr>
                <w:rFonts w:ascii="Arial" w:hAnsi="Arial" w:cs="Arial"/>
                <w:color w:val="000000"/>
                <w:sz w:val="14"/>
                <w:szCs w:val="14"/>
              </w:rPr>
              <w:t>cyberbezpieczeństwa</w:t>
            </w:r>
            <w:proofErr w:type="spellEnd"/>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87 530,00</w:t>
            </w:r>
          </w:p>
        </w:tc>
      </w:tr>
      <w:tr w:rsidR="00825198" w:rsidRPr="00825198">
        <w:trPr>
          <w:trHeight w:val="440"/>
        </w:trPr>
        <w:tc>
          <w:tcPr>
            <w:tcW w:w="3480" w:type="dxa"/>
            <w:vMerge/>
            <w:tcBorders>
              <w:top w:val="nil"/>
              <w:left w:val="single" w:sz="4" w:space="0" w:color="000000"/>
              <w:bottom w:val="single" w:sz="4" w:space="0" w:color="000000"/>
              <w:right w:val="single" w:sz="4" w:space="0" w:color="000000"/>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nil"/>
              <w:right w:val="single" w:sz="4" w:space="0" w:color="000000"/>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290"/>
        </w:trPr>
        <w:tc>
          <w:tcPr>
            <w:tcW w:w="3480" w:type="dxa"/>
            <w:vMerge w:val="restart"/>
            <w:tcBorders>
              <w:top w:val="nil"/>
              <w:left w:val="single" w:sz="4" w:space="0" w:color="000000"/>
              <w:bottom w:val="single" w:sz="4" w:space="0" w:color="000000"/>
              <w:right w:val="nil"/>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FF0000"/>
                <w:sz w:val="14"/>
                <w:szCs w:val="14"/>
              </w:rPr>
              <w:lastRenderedPageBreak/>
              <w:t>"KULTURA BEZ GRANIC"</w:t>
            </w:r>
            <w:r w:rsidRPr="00825198">
              <w:rPr>
                <w:rFonts w:ascii="Arial" w:hAnsi="Arial" w:cs="Arial"/>
                <w:color w:val="000000"/>
                <w:sz w:val="14"/>
                <w:szCs w:val="14"/>
              </w:rPr>
              <w:t>-  Fundusze Europejskie dla Dolnego Śląska (2021-2027)</w:t>
            </w:r>
          </w:p>
        </w:tc>
        <w:tc>
          <w:tcPr>
            <w:tcW w:w="1620" w:type="dxa"/>
            <w:tcBorders>
              <w:top w:val="nil"/>
              <w:left w:val="single" w:sz="4" w:space="0" w:color="000000"/>
              <w:bottom w:val="single" w:sz="4" w:space="0" w:color="000000"/>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222 800,00</w:t>
            </w:r>
          </w:p>
        </w:tc>
      </w:tr>
      <w:tr w:rsidR="00825198" w:rsidRPr="00825198">
        <w:trPr>
          <w:trHeight w:val="290"/>
        </w:trPr>
        <w:tc>
          <w:tcPr>
            <w:tcW w:w="3480" w:type="dxa"/>
            <w:vMerge/>
            <w:tcBorders>
              <w:top w:val="nil"/>
              <w:left w:val="single" w:sz="4" w:space="0" w:color="000000"/>
              <w:bottom w:val="single" w:sz="4" w:space="0" w:color="000000"/>
              <w:right w:val="nil"/>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single" w:sz="4" w:space="0" w:color="000000"/>
              <w:bottom w:val="single" w:sz="4" w:space="0" w:color="000000"/>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single" w:sz="4" w:space="0" w:color="auto"/>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360"/>
        </w:trPr>
        <w:tc>
          <w:tcPr>
            <w:tcW w:w="3480" w:type="dxa"/>
            <w:tcBorders>
              <w:top w:val="nil"/>
              <w:left w:val="single" w:sz="4" w:space="0" w:color="auto"/>
              <w:bottom w:val="single" w:sz="4" w:space="0" w:color="auto"/>
              <w:right w:val="nil"/>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Arial" w:hAnsi="Arial" w:cs="Arial"/>
                <w:color w:val="000000"/>
                <w:sz w:val="14"/>
                <w:szCs w:val="14"/>
              </w:rPr>
            </w:pPr>
            <w:r w:rsidRPr="00825198">
              <w:rPr>
                <w:rFonts w:ascii="Arial" w:hAnsi="Arial" w:cs="Arial"/>
                <w:color w:val="FF0000"/>
                <w:sz w:val="14"/>
                <w:szCs w:val="14"/>
              </w:rPr>
              <w:t xml:space="preserve">REFUNDACJA Z 2023 ROKU </w:t>
            </w:r>
            <w:r w:rsidRPr="00825198">
              <w:rPr>
                <w:rFonts w:ascii="Arial" w:hAnsi="Arial" w:cs="Arial"/>
                <w:color w:val="000000"/>
                <w:sz w:val="14"/>
                <w:szCs w:val="14"/>
              </w:rPr>
              <w:t>; WYSOKOEMISYJNE ŹRÓDŁA</w:t>
            </w:r>
          </w:p>
        </w:tc>
        <w:tc>
          <w:tcPr>
            <w:tcW w:w="1620" w:type="dxa"/>
            <w:tcBorders>
              <w:top w:val="nil"/>
              <w:left w:val="single" w:sz="4" w:space="0" w:color="auto"/>
              <w:bottom w:val="single" w:sz="4" w:space="0" w:color="auto"/>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single" w:sz="4" w:space="0" w:color="auto"/>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50 970,69</w:t>
            </w:r>
          </w:p>
        </w:tc>
      </w:tr>
      <w:tr w:rsidR="00825198" w:rsidRPr="00825198">
        <w:trPr>
          <w:trHeight w:val="300"/>
        </w:trPr>
        <w:tc>
          <w:tcPr>
            <w:tcW w:w="3480" w:type="dxa"/>
            <w:vMerge w:val="restart"/>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w:t>
            </w:r>
            <w:proofErr w:type="spellStart"/>
            <w:r w:rsidRPr="00825198">
              <w:rPr>
                <w:rFonts w:ascii="Arial" w:hAnsi="Arial" w:cs="Arial"/>
                <w:color w:val="000000"/>
                <w:sz w:val="14"/>
                <w:szCs w:val="14"/>
              </w:rPr>
              <w:t>Wiem,umiem</w:t>
            </w:r>
            <w:proofErr w:type="spellEnd"/>
            <w:r w:rsidRPr="00825198">
              <w:rPr>
                <w:rFonts w:ascii="Arial" w:hAnsi="Arial" w:cs="Arial"/>
                <w:color w:val="000000"/>
                <w:sz w:val="14"/>
                <w:szCs w:val="14"/>
              </w:rPr>
              <w:t xml:space="preserve">/potrafię i lubię przedszkole-wsparcie edukacyjne placówek wychowania przedszkolnego prowadzonych przez Gminę Nowa Ruda"- </w:t>
            </w:r>
            <w:r w:rsidRPr="00825198">
              <w:rPr>
                <w:rFonts w:ascii="Arial" w:hAnsi="Arial" w:cs="Arial"/>
                <w:color w:val="FF0000"/>
                <w:sz w:val="14"/>
                <w:szCs w:val="14"/>
              </w:rPr>
              <w:t>Fundusze Europejskie dla edukacji na Dolnym Śląsku</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381 129,00</w:t>
            </w:r>
          </w:p>
        </w:tc>
      </w:tr>
      <w:tr w:rsidR="00825198" w:rsidRPr="00825198">
        <w:trPr>
          <w:trHeight w:val="270"/>
        </w:trPr>
        <w:tc>
          <w:tcPr>
            <w:tcW w:w="3480" w:type="dxa"/>
            <w:vMerge/>
            <w:tcBorders>
              <w:top w:val="nil"/>
              <w:left w:val="single" w:sz="4" w:space="0" w:color="auto"/>
              <w:bottom w:val="single" w:sz="4" w:space="0" w:color="auto"/>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261 413,00</w:t>
            </w:r>
          </w:p>
        </w:tc>
      </w:tr>
      <w:tr w:rsidR="00825198" w:rsidRPr="00825198">
        <w:trPr>
          <w:trHeight w:val="200"/>
        </w:trPr>
        <w:tc>
          <w:tcPr>
            <w:tcW w:w="3480" w:type="dxa"/>
            <w:vMerge/>
            <w:tcBorders>
              <w:top w:val="nil"/>
              <w:left w:val="single" w:sz="4" w:space="0" w:color="auto"/>
              <w:bottom w:val="single" w:sz="4" w:space="0" w:color="auto"/>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2026</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52 895,00</w:t>
            </w:r>
          </w:p>
        </w:tc>
      </w:tr>
      <w:tr w:rsidR="00825198" w:rsidRPr="00825198">
        <w:trPr>
          <w:trHeight w:val="20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FF0000"/>
                <w:sz w:val="14"/>
                <w:szCs w:val="14"/>
              </w:rPr>
            </w:pPr>
            <w:r w:rsidRPr="00825198">
              <w:rPr>
                <w:rFonts w:ascii="Arial" w:hAnsi="Arial" w:cs="Arial"/>
                <w:color w:val="FF0000"/>
                <w:sz w:val="14"/>
                <w:szCs w:val="14"/>
              </w:rPr>
              <w:t>"Bliżej tradycji, bliżej siebie"</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0,00</w:t>
            </w:r>
          </w:p>
        </w:tc>
      </w:tr>
      <w:tr w:rsidR="00825198" w:rsidRPr="00825198">
        <w:trPr>
          <w:trHeight w:val="20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52 320,00</w:t>
            </w:r>
          </w:p>
        </w:tc>
      </w:tr>
      <w:tr w:rsidR="00825198" w:rsidRPr="00825198">
        <w:trPr>
          <w:trHeight w:val="20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FF0000"/>
                <w:sz w:val="14"/>
                <w:szCs w:val="14"/>
              </w:rPr>
            </w:pPr>
            <w:r w:rsidRPr="00825198">
              <w:rPr>
                <w:rFonts w:ascii="Arial" w:hAnsi="Arial" w:cs="Arial"/>
                <w:color w:val="FF0000"/>
                <w:sz w:val="14"/>
                <w:szCs w:val="14"/>
              </w:rPr>
              <w:t xml:space="preserve">"Maluch +" - </w:t>
            </w:r>
            <w:r w:rsidRPr="00825198">
              <w:rPr>
                <w:rFonts w:ascii="Arial" w:hAnsi="Arial" w:cs="Arial"/>
                <w:sz w:val="14"/>
                <w:szCs w:val="14"/>
              </w:rPr>
              <w:t xml:space="preserve">dofinansowanie miejsc w Żłobku w Bożkowie </w:t>
            </w:r>
            <w:r w:rsidRPr="00825198">
              <w:rPr>
                <w:rFonts w:ascii="Arial" w:hAnsi="Arial" w:cs="Arial"/>
                <w:color w:val="FF0000"/>
                <w:sz w:val="14"/>
                <w:szCs w:val="14"/>
              </w:rPr>
              <w:t>w ramach KPO</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334 400,00</w:t>
            </w:r>
          </w:p>
        </w:tc>
      </w:tr>
      <w:tr w:rsidR="00825198" w:rsidRPr="00825198">
        <w:trPr>
          <w:trHeight w:val="20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250 800,00</w:t>
            </w:r>
          </w:p>
        </w:tc>
      </w:tr>
      <w:tr w:rsidR="00825198" w:rsidRPr="00825198">
        <w:trPr>
          <w:trHeight w:val="20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2026</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167 200,00</w:t>
            </w:r>
          </w:p>
        </w:tc>
      </w:tr>
      <w:tr w:rsidR="00825198" w:rsidRPr="00825198">
        <w:trPr>
          <w:trHeight w:val="44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FF0000"/>
                <w:sz w:val="14"/>
                <w:szCs w:val="14"/>
              </w:rPr>
            </w:pPr>
            <w:r w:rsidRPr="00825198">
              <w:rPr>
                <w:rFonts w:ascii="Arial" w:hAnsi="Arial" w:cs="Arial"/>
                <w:sz w:val="14"/>
                <w:szCs w:val="14"/>
              </w:rPr>
              <w:t xml:space="preserve">Termomodernizacja budynków użyteczności publicznej za pośrednictwem Funduszy Europejskich na rzecz </w:t>
            </w:r>
            <w:proofErr w:type="spellStart"/>
            <w:r w:rsidRPr="00825198">
              <w:rPr>
                <w:rFonts w:ascii="Arial" w:hAnsi="Arial" w:cs="Arial"/>
                <w:sz w:val="14"/>
                <w:szCs w:val="14"/>
              </w:rPr>
              <w:t>trasformacji</w:t>
            </w:r>
            <w:proofErr w:type="spellEnd"/>
            <w:r w:rsidRPr="00825198">
              <w:rPr>
                <w:rFonts w:ascii="Arial" w:hAnsi="Arial" w:cs="Arial"/>
                <w:sz w:val="14"/>
                <w:szCs w:val="14"/>
              </w:rPr>
              <w:t xml:space="preserve"> obszarów górniczych na Dolnym Śląsku </w:t>
            </w:r>
            <w:r w:rsidRPr="00825198">
              <w:rPr>
                <w:rFonts w:ascii="Arial" w:hAnsi="Arial" w:cs="Arial"/>
                <w:color w:val="FF0000"/>
                <w:sz w:val="14"/>
                <w:szCs w:val="14"/>
              </w:rPr>
              <w:t>- remizy OSP, sala Dzikowiec, Żłobek Ludwikowice</w:t>
            </w: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2024</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86 539,00</w:t>
            </w:r>
          </w:p>
        </w:tc>
      </w:tr>
      <w:tr w:rsidR="00825198" w:rsidRPr="00825198">
        <w:trPr>
          <w:trHeight w:val="410"/>
        </w:trPr>
        <w:tc>
          <w:tcPr>
            <w:tcW w:w="3480" w:type="dxa"/>
            <w:vMerge/>
            <w:tcBorders>
              <w:top w:val="nil"/>
              <w:left w:val="single" w:sz="4" w:space="0" w:color="auto"/>
              <w:bottom w:val="single" w:sz="4" w:space="0" w:color="000000"/>
              <w:right w:val="single" w:sz="4" w:space="0" w:color="auto"/>
            </w:tcBorders>
            <w:vAlign w:val="center"/>
          </w:tcPr>
          <w:p w:rsidR="00825198" w:rsidRPr="00825198" w:rsidRDefault="00825198" w:rsidP="00825198">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2025</w:t>
            </w:r>
          </w:p>
        </w:tc>
        <w:tc>
          <w:tcPr>
            <w:tcW w:w="1340" w:type="dxa"/>
            <w:tcBorders>
              <w:top w:val="nil"/>
              <w:left w:val="nil"/>
              <w:bottom w:val="single" w:sz="4" w:space="0" w:color="auto"/>
              <w:right w:val="single" w:sz="4" w:space="0" w:color="auto"/>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825198">
              <w:rPr>
                <w:rFonts w:ascii="Arial" w:hAnsi="Arial" w:cs="Arial"/>
                <w:color w:val="000000"/>
                <w:sz w:val="14"/>
                <w:szCs w:val="14"/>
              </w:rPr>
              <w:t>364 800,00</w:t>
            </w:r>
          </w:p>
        </w:tc>
      </w:tr>
      <w:tr w:rsidR="00825198" w:rsidRPr="00825198">
        <w:trPr>
          <w:trHeight w:val="290"/>
        </w:trPr>
        <w:tc>
          <w:tcPr>
            <w:tcW w:w="3480" w:type="dxa"/>
            <w:tcBorders>
              <w:top w:val="nil"/>
              <w:left w:val="nil"/>
              <w:bottom w:val="nil"/>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w:t>
            </w:r>
          </w:p>
        </w:tc>
        <w:tc>
          <w:tcPr>
            <w:tcW w:w="162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color w:val="000000"/>
                <w:sz w:val="14"/>
                <w:szCs w:val="14"/>
              </w:rPr>
            </w:pPr>
            <w:r w:rsidRPr="00825198">
              <w:rPr>
                <w:rFonts w:ascii="Arial" w:hAnsi="Arial" w:cs="Arial"/>
                <w:b/>
                <w:bCs/>
                <w:color w:val="000000"/>
                <w:sz w:val="14"/>
                <w:szCs w:val="14"/>
              </w:rPr>
              <w:t>2024</w:t>
            </w:r>
          </w:p>
        </w:tc>
        <w:tc>
          <w:tcPr>
            <w:tcW w:w="1340" w:type="dxa"/>
            <w:tcBorders>
              <w:top w:val="nil"/>
              <w:left w:val="nil"/>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color w:val="000000"/>
                <w:sz w:val="14"/>
                <w:szCs w:val="14"/>
              </w:rPr>
            </w:pPr>
            <w:r w:rsidRPr="00825198">
              <w:rPr>
                <w:rFonts w:ascii="Arial" w:hAnsi="Arial" w:cs="Arial"/>
                <w:b/>
                <w:bCs/>
                <w:color w:val="000000"/>
                <w:sz w:val="14"/>
                <w:szCs w:val="14"/>
              </w:rPr>
              <w:t>1 186 768,69</w:t>
            </w:r>
          </w:p>
        </w:tc>
      </w:tr>
      <w:tr w:rsidR="00825198" w:rsidRPr="00825198">
        <w:trPr>
          <w:trHeight w:val="290"/>
        </w:trPr>
        <w:tc>
          <w:tcPr>
            <w:tcW w:w="3480" w:type="dxa"/>
            <w:tcBorders>
              <w:top w:val="nil"/>
              <w:left w:val="nil"/>
              <w:bottom w:val="nil"/>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w:t>
            </w:r>
          </w:p>
        </w:tc>
        <w:tc>
          <w:tcPr>
            <w:tcW w:w="162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color w:val="000000"/>
                <w:sz w:val="14"/>
                <w:szCs w:val="14"/>
              </w:rPr>
            </w:pPr>
            <w:r w:rsidRPr="00825198">
              <w:rPr>
                <w:rFonts w:ascii="Arial" w:hAnsi="Arial" w:cs="Arial"/>
                <w:b/>
                <w:bCs/>
                <w:color w:val="000000"/>
                <w:sz w:val="14"/>
                <w:szCs w:val="14"/>
              </w:rPr>
              <w:t>2025</w:t>
            </w:r>
          </w:p>
        </w:tc>
        <w:tc>
          <w:tcPr>
            <w:tcW w:w="1340" w:type="dxa"/>
            <w:tcBorders>
              <w:top w:val="nil"/>
              <w:left w:val="nil"/>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color w:val="000000"/>
                <w:sz w:val="14"/>
                <w:szCs w:val="14"/>
              </w:rPr>
            </w:pPr>
            <w:r w:rsidRPr="00825198">
              <w:rPr>
                <w:rFonts w:ascii="Arial" w:hAnsi="Arial" w:cs="Arial"/>
                <w:b/>
                <w:bCs/>
                <w:color w:val="000000"/>
                <w:sz w:val="14"/>
                <w:szCs w:val="14"/>
              </w:rPr>
              <w:t>1 049 133,00</w:t>
            </w:r>
          </w:p>
        </w:tc>
      </w:tr>
      <w:tr w:rsidR="00825198" w:rsidRPr="00825198">
        <w:trPr>
          <w:trHeight w:val="290"/>
        </w:trPr>
        <w:tc>
          <w:tcPr>
            <w:tcW w:w="3480" w:type="dxa"/>
            <w:tcBorders>
              <w:top w:val="nil"/>
              <w:left w:val="nil"/>
              <w:bottom w:val="nil"/>
              <w:right w:val="nil"/>
            </w:tcBorders>
            <w:shd w:val="clear" w:color="auto" w:fill="FFFFFF"/>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825198">
              <w:rPr>
                <w:rFonts w:ascii="Arial" w:hAnsi="Arial" w:cs="Arial"/>
                <w:color w:val="000000"/>
                <w:sz w:val="14"/>
                <w:szCs w:val="14"/>
              </w:rPr>
              <w:t> </w:t>
            </w:r>
          </w:p>
        </w:tc>
        <w:tc>
          <w:tcPr>
            <w:tcW w:w="1620" w:type="dxa"/>
            <w:tcBorders>
              <w:top w:val="nil"/>
              <w:left w:val="single" w:sz="4" w:space="0" w:color="auto"/>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color w:val="000000"/>
                <w:sz w:val="14"/>
                <w:szCs w:val="14"/>
              </w:rPr>
            </w:pPr>
            <w:r w:rsidRPr="00825198">
              <w:rPr>
                <w:rFonts w:ascii="Arial" w:hAnsi="Arial" w:cs="Arial"/>
                <w:b/>
                <w:bCs/>
                <w:color w:val="000000"/>
                <w:sz w:val="14"/>
                <w:szCs w:val="14"/>
              </w:rPr>
              <w:t>2026</w:t>
            </w:r>
          </w:p>
        </w:tc>
        <w:tc>
          <w:tcPr>
            <w:tcW w:w="1340" w:type="dxa"/>
            <w:tcBorders>
              <w:top w:val="nil"/>
              <w:left w:val="nil"/>
              <w:bottom w:val="single" w:sz="4" w:space="0" w:color="auto"/>
              <w:right w:val="single" w:sz="4" w:space="0" w:color="auto"/>
            </w:tcBorders>
            <w:shd w:val="clear" w:color="auto" w:fill="DDEBF7"/>
            <w:vAlign w:val="center"/>
          </w:tcPr>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color w:val="000000"/>
                <w:sz w:val="14"/>
                <w:szCs w:val="14"/>
              </w:rPr>
            </w:pPr>
            <w:r w:rsidRPr="00825198">
              <w:rPr>
                <w:rFonts w:ascii="Arial" w:hAnsi="Arial" w:cs="Arial"/>
                <w:b/>
                <w:bCs/>
                <w:color w:val="000000"/>
                <w:sz w:val="14"/>
                <w:szCs w:val="14"/>
              </w:rPr>
              <w:t>220 095,00</w:t>
            </w:r>
          </w:p>
        </w:tc>
      </w:tr>
    </w:tbl>
    <w:p w:rsidR="00825198" w:rsidRPr="00825198" w:rsidRDefault="00825198" w:rsidP="008251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Calibri" w:hAnsi="Calibri" w:cs="Calibri"/>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100" w:line="360" w:lineRule="auto"/>
        <w:ind w:left="0"/>
        <w:jc w:val="left"/>
        <w:rPr>
          <w:rFonts w:ascii="Times New Roman" w:hAnsi="Times New Roman" w:cs="Times New Roman"/>
          <w:sz w:val="20"/>
          <w:szCs w:val="20"/>
        </w:rPr>
      </w:pPr>
      <w:r w:rsidRPr="00825198">
        <w:rPr>
          <w:rFonts w:ascii="Times New Roman" w:hAnsi="Times New Roman" w:cs="Times New Roman"/>
          <w:b/>
          <w:bCs/>
          <w:sz w:val="20"/>
          <w:szCs w:val="20"/>
        </w:rPr>
        <w:t xml:space="preserve">Kalkulacja odbywa się w oparciu o informację dotyczącą zasad realizacji zadań finansowanych ze środków europejskich w perspektywie finansowej 2021-2027. </w:t>
      </w:r>
      <w:r w:rsidRPr="00825198">
        <w:rPr>
          <w:rFonts w:ascii="Times New Roman" w:hAnsi="Times New Roman" w:cs="Times New Roman"/>
          <w:sz w:val="20"/>
          <w:szCs w:val="20"/>
        </w:rPr>
        <w:t xml:space="preserve">Dochody ujęte w budżecie i finansowane z FEDS są projektami niekonkurencyjnymi. Lista tych projektów jest częścią opracowywanej Strategii ZIT Aglomeracji Wałbrzyskiej. Strategia wraz z listą tych projektów jest aktualnie konsultowana z Urzędem Marszałkowskim. Po uchwaleniu Strategii Gmina Nowa Ruda będzie mogła w trybie niekonkurencyjnym (bez naboru) realizować projektu zapisane w Strategii ZIT. Gwarantem realizacji projektów w trybie niekonkurencyjnym jest ustawa z dnia 28 kwietnia 2022 r. o zasadach realizacji zadań finansowanych ze środków europejskich w perspektywie finansowej 2021–2027 która określa zasady realizacji programów w zakresie polityki spójności finansowanych w perspektywie finansowej 2021–2027. Ustawa ta umożliwia instrumentom terytorialnym takim jak IT realizację projektów w trybie niekonkurencyjnym na podstawie  uchwalonych strategii rozwoju.  </w:t>
      </w:r>
      <w:r w:rsidRPr="00825198">
        <w:rPr>
          <w:rFonts w:ascii="Times New Roman" w:hAnsi="Times New Roman" w:cs="Times New Roman"/>
          <w:b/>
          <w:bCs/>
          <w:sz w:val="20"/>
          <w:szCs w:val="20"/>
        </w:rPr>
        <w:t>Projekty realizowane z FEDS mogą być realizowane poprzez formę zaliczkowania do 90% kosztów kwalifikowanych przedsięwzięcia</w:t>
      </w:r>
      <w:r w:rsidRPr="00825198">
        <w:rPr>
          <w:rFonts w:ascii="Times New Roman" w:hAnsi="Times New Roman" w:cs="Times New Roman"/>
          <w:sz w:val="20"/>
          <w:szCs w:val="20"/>
        </w:rPr>
        <w:t xml:space="preserve">. </w:t>
      </w:r>
      <w:r w:rsidRPr="00825198">
        <w:rPr>
          <w:rFonts w:ascii="Times New Roman" w:hAnsi="Times New Roman" w:cs="Times New Roman"/>
          <w:b/>
          <w:bCs/>
          <w:sz w:val="20"/>
          <w:szCs w:val="20"/>
        </w:rPr>
        <w:t>Możliwość zaliczkowania wynika z regulaminów naborów, które  są ogłaszane zgodnie z Harmonogramem naborów dla Programu Fundusze Europejskie dla Dolnego Śląska 2021-2027</w:t>
      </w:r>
      <w:r w:rsidRPr="00825198">
        <w:rPr>
          <w:rFonts w:ascii="Times New Roman" w:hAnsi="Times New Roman" w:cs="Times New Roman"/>
          <w:sz w:val="20"/>
          <w:szCs w:val="20"/>
        </w:rPr>
        <w:t xml:space="preserve">. </w:t>
      </w:r>
    </w:p>
    <w:p w:rsidR="00825198" w:rsidRPr="00825198" w:rsidRDefault="00825198" w:rsidP="008251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b/>
          <w:bCs/>
          <w:sz w:val="20"/>
          <w:szCs w:val="20"/>
        </w:rPr>
        <w:t>W roku 2024</w:t>
      </w:r>
      <w:r w:rsidRPr="00825198">
        <w:rPr>
          <w:rFonts w:ascii="Times New Roman" w:hAnsi="Times New Roman" w:cs="Times New Roman"/>
          <w:sz w:val="20"/>
          <w:szCs w:val="20"/>
        </w:rPr>
        <w:t xml:space="preserve"> planuje się dodatkowo dochody w wysokości </w:t>
      </w:r>
      <w:r w:rsidRPr="00825198">
        <w:rPr>
          <w:rFonts w:ascii="Times New Roman" w:hAnsi="Times New Roman" w:cs="Times New Roman"/>
          <w:b/>
          <w:bCs/>
          <w:sz w:val="20"/>
          <w:szCs w:val="20"/>
        </w:rPr>
        <w:t>9 224 102,44 zł tytułem dotacji w ramach Funduszu Inwestycji Strategicznych POLSKI ŁAD-II</w:t>
      </w:r>
      <w:r w:rsidRPr="00825198">
        <w:rPr>
          <w:rFonts w:ascii="Times New Roman" w:hAnsi="Times New Roman" w:cs="Times New Roman"/>
          <w:sz w:val="20"/>
          <w:szCs w:val="20"/>
        </w:rPr>
        <w:t xml:space="preserve"> oraz </w:t>
      </w:r>
      <w:r w:rsidRPr="00825198">
        <w:rPr>
          <w:rFonts w:ascii="Times New Roman" w:hAnsi="Times New Roman" w:cs="Times New Roman"/>
          <w:b/>
          <w:bCs/>
          <w:sz w:val="20"/>
          <w:szCs w:val="20"/>
        </w:rPr>
        <w:t>dotacji uruchomionej na Rządowy Program Odbudowy Zabytków</w:t>
      </w:r>
      <w:r w:rsidRPr="00825198">
        <w:rPr>
          <w:rFonts w:ascii="Times New Roman" w:hAnsi="Times New Roman" w:cs="Times New Roman"/>
          <w:sz w:val="20"/>
          <w:szCs w:val="20"/>
        </w:rPr>
        <w:t xml:space="preserve">, na zadania: </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Poprawa jakości infrastruktury drogowej na terenie Gminy Nowa Ruda poprzez budowę i modernizację - POLSKI ŁAD,</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Rozwój Gminy Nowa Ruda poprzez budowę i modernizację infrastruktury drogowej oraz zagospodarowanie terenu wokół Zespołu Szkół nr 3 z Oddziałami Integracyjnymi w Bożkowie - RFIL i POLSKI ŁAD II,</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lastRenderedPageBreak/>
        <w:t>Zwiększenie jakości życia mieszkańców Gminy Nowa Ruda poprzez rozwój i budowę infrastruktury społecznej POLSKI ŁAD II Edycja 6 - PGR : modernizacja sali wiejskiej "</w:t>
      </w:r>
      <w:proofErr w:type="spellStart"/>
      <w:r w:rsidRPr="00825198">
        <w:rPr>
          <w:rFonts w:ascii="Times New Roman" w:hAnsi="Times New Roman" w:cs="Times New Roman"/>
          <w:sz w:val="20"/>
          <w:szCs w:val="20"/>
        </w:rPr>
        <w:t>Jugowianka</w:t>
      </w:r>
      <w:proofErr w:type="spellEnd"/>
      <w:r w:rsidRPr="00825198">
        <w:rPr>
          <w:rFonts w:ascii="Times New Roman" w:hAnsi="Times New Roman" w:cs="Times New Roman"/>
          <w:sz w:val="20"/>
          <w:szCs w:val="20"/>
        </w:rPr>
        <w:t xml:space="preserve">" w Jugowie oraz sala wiejska w Dzikowcu, </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Rządowy Program Odbudowy Zabytków- POLSKI ŁAD (dotacje na zabytki),</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Poprawa jakości życia mieszkańców Gminy Nowa Ruda poprzez budowę i modernizację infrastruktury społecznej (kąpielisko Jugów)- POLSKI ŁAD II,</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Zwiększenie jakości życia mieszkańców Gminy Nowa Ruda poprzez rozwój i budowę infrastruktury społecznej POLSKI ŁAD II Edycja 6 - PGR : modernizacja zaplecza szatniowo-sportowego boiska w Dzikowcu oraz Woliborzu,</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Poprawa jakości życia mieszkańców poprzez budowę Infrastruktury sportowej - boisko w Przygórzu - POLSKI ŁAD.</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Planowane dochody wynikają z podpisanych już umów o dofinansowanie oraz z zatwierdzonych wniosków.</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825198">
        <w:rPr>
          <w:rFonts w:ascii="Times New Roman" w:hAnsi="Times New Roman" w:cs="Times New Roman"/>
          <w:b/>
          <w:bCs/>
          <w:sz w:val="20"/>
          <w:szCs w:val="20"/>
        </w:rPr>
        <w:t>W roku 2025 w ramach</w:t>
      </w:r>
      <w:r w:rsidRPr="00825198">
        <w:rPr>
          <w:rFonts w:ascii="Times New Roman" w:hAnsi="Times New Roman" w:cs="Times New Roman"/>
          <w:sz w:val="20"/>
          <w:szCs w:val="20"/>
        </w:rPr>
        <w:t xml:space="preserve"> </w:t>
      </w:r>
      <w:r w:rsidRPr="00825198">
        <w:rPr>
          <w:rFonts w:ascii="Times New Roman" w:hAnsi="Times New Roman" w:cs="Times New Roman"/>
          <w:b/>
          <w:bCs/>
          <w:sz w:val="20"/>
          <w:szCs w:val="20"/>
        </w:rPr>
        <w:t>Funduszu Inwestycji Strategicznych POLSKI ŁAD-II planowane dochody w wysokości 9 650 000,00 zł to realizacja zadań z roku 2024 :</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Poprawa jakości infrastruktury drogowej na terenie Gminy Nowa Ruda poprzez budowę i modernizację - POLSKI ŁAD,</w:t>
      </w:r>
    </w:p>
    <w:p w:rsidR="00825198" w:rsidRPr="00825198" w:rsidRDefault="00825198" w:rsidP="00825198">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Przebudowa drogi Dzikowiec dz. 111/20 - w ramach PROW i POLSKI ŁAD,</w:t>
      </w:r>
    </w:p>
    <w:p w:rsidR="00825198" w:rsidRPr="00825198" w:rsidRDefault="00825198" w:rsidP="00825198">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Przebudowa drogi gminnej nr 120374D w Woliborzu,</w:t>
      </w:r>
    </w:p>
    <w:p w:rsidR="00825198" w:rsidRPr="00825198" w:rsidRDefault="00825198" w:rsidP="00825198">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Poprawa jakości życia mieszkańców poprzez budowę Infrastruktury sportowej - boisko w Przygórzu - POLSKI ŁAD.</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Wzrost oczekiwanych wpływów ze sprzedaży mienia komunalnego wynika z przygotowania do sprzedaży </w:t>
      </w:r>
      <w:r w:rsidRPr="00825198">
        <w:rPr>
          <w:rFonts w:ascii="Times New Roman" w:hAnsi="Times New Roman" w:cs="Times New Roman"/>
          <w:b/>
          <w:bCs/>
          <w:sz w:val="20"/>
          <w:szCs w:val="20"/>
        </w:rPr>
        <w:t>działek w Woliborzu pod osadnikami o powierzchni 8,3229 ha</w:t>
      </w:r>
      <w:r w:rsidRPr="00825198">
        <w:rPr>
          <w:rFonts w:ascii="Times New Roman" w:hAnsi="Times New Roman" w:cs="Times New Roman"/>
          <w:sz w:val="20"/>
          <w:szCs w:val="20"/>
        </w:rPr>
        <w:t xml:space="preserve"> (wycena wartości na podstawie ceny wywoławczej w ogłoszonym przetargu – </w:t>
      </w:r>
      <w:r w:rsidRPr="00825198">
        <w:rPr>
          <w:rFonts w:ascii="Times New Roman" w:hAnsi="Times New Roman" w:cs="Times New Roman"/>
          <w:b/>
          <w:bCs/>
          <w:sz w:val="20"/>
          <w:szCs w:val="20"/>
        </w:rPr>
        <w:t>1 600 000,00 zł</w:t>
      </w:r>
      <w:r w:rsidRPr="00825198">
        <w:rPr>
          <w:rFonts w:ascii="Times New Roman" w:hAnsi="Times New Roman" w:cs="Times New Roman"/>
          <w:sz w:val="20"/>
          <w:szCs w:val="20"/>
        </w:rPr>
        <w:t>). Przy opracowywaniu planu kierowano się – podobnie jak w roku poprzednim - nie tylko ilością złożonych wniosków o nabycie nieruchomości oraz stopniem przygotowanej dokumentacji umożliwiającej dokonanie operacji, ale także zaplanowano duży wzrost z dochodów związanych z zaplanowanymi transakcjami handlowymi, które trwają i są prawdopodobne do zrealizowania.</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825198">
        <w:rPr>
          <w:rFonts w:ascii="Times New Roman" w:hAnsi="Times New Roman" w:cs="Times New Roman"/>
          <w:b/>
          <w:bCs/>
          <w:sz w:val="20"/>
          <w:szCs w:val="20"/>
          <w:u w:val="single"/>
        </w:rPr>
        <w:t>Pozostałe dochody majątkowe wynikają z podpisanych umów o dotację.</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825198">
        <w:rPr>
          <w:rFonts w:ascii="Times New Roman" w:hAnsi="Times New Roman" w:cs="Times New Roman"/>
          <w:b/>
          <w:bCs/>
          <w:sz w:val="20"/>
          <w:szCs w:val="20"/>
          <w:u w:val="single"/>
        </w:rPr>
        <w:t xml:space="preserve">Kalkulacja dochodów w latach 2026-2027 została opracowana według zasad wynikających z dokumentu </w:t>
      </w:r>
      <w:r w:rsidRPr="00825198">
        <w:rPr>
          <w:rFonts w:ascii="Times New Roman" w:hAnsi="Times New Roman" w:cs="Times New Roman"/>
          <w:b/>
          <w:bCs/>
          <w:sz w:val="20"/>
          <w:szCs w:val="20"/>
        </w:rPr>
        <w:t>„Wytyczne dotyczące stosowania jednolitych wskaźników makroekonomicznych będących podstawą oszacowania skutków finansowych projektowanych ustaw.  Aktualizacja – październik 2023 r.” . Wzrost podstawowych dochodów mieści się w ramach określonych w ww. dokumencie.</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825198">
        <w:rPr>
          <w:rFonts w:ascii="Times New Roman" w:hAnsi="Times New Roman" w:cs="Times New Roman"/>
          <w:b/>
          <w:bCs/>
          <w:sz w:val="20"/>
          <w:szCs w:val="20"/>
        </w:rPr>
        <w:t xml:space="preserve">Nie planuje się w tym okresie żadnych nowych znacznych inwestycji. W okresie 2027-2034 planuje się nadwyżki, które będą angażowane na spłatę zaciągniętych zobowiązań.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825198">
        <w:rPr>
          <w:rFonts w:ascii="Times New Roman" w:hAnsi="Times New Roman" w:cs="Times New Roman"/>
          <w:b/>
          <w:bCs/>
          <w:sz w:val="20"/>
          <w:szCs w:val="20"/>
          <w:u w:val="single"/>
        </w:rPr>
        <w:lastRenderedPageBreak/>
        <w:t>WYDATKI</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Na rok 2024 wydatki zaplanowano w wysokości </w:t>
      </w:r>
      <w:r w:rsidRPr="00825198">
        <w:rPr>
          <w:rFonts w:ascii="Times New Roman" w:hAnsi="Times New Roman" w:cs="Times New Roman"/>
          <w:b/>
          <w:bCs/>
          <w:sz w:val="20"/>
          <w:szCs w:val="20"/>
        </w:rPr>
        <w:t>113 432 061,55 zł</w:t>
      </w:r>
      <w:r w:rsidRPr="00825198">
        <w:rPr>
          <w:rFonts w:ascii="Times New Roman" w:hAnsi="Times New Roman" w:cs="Times New Roman"/>
          <w:sz w:val="20"/>
          <w:szCs w:val="20"/>
        </w:rPr>
        <w:t xml:space="preserve">. Na wydatki bieżące zaplanowano kwotę </w:t>
      </w:r>
      <w:r w:rsidRPr="00825198">
        <w:rPr>
          <w:rFonts w:ascii="Times New Roman" w:hAnsi="Times New Roman" w:cs="Times New Roman"/>
          <w:b/>
          <w:bCs/>
          <w:sz w:val="20"/>
          <w:szCs w:val="20"/>
        </w:rPr>
        <w:t>68 392 131,65 zł</w:t>
      </w:r>
      <w:r w:rsidRPr="00825198">
        <w:rPr>
          <w:rFonts w:ascii="Times New Roman" w:hAnsi="Times New Roman" w:cs="Times New Roman"/>
          <w:sz w:val="20"/>
          <w:szCs w:val="20"/>
        </w:rPr>
        <w:t xml:space="preserve">, na obsługę długu </w:t>
      </w:r>
      <w:r w:rsidRPr="00825198">
        <w:rPr>
          <w:rFonts w:ascii="Times New Roman" w:hAnsi="Times New Roman" w:cs="Times New Roman"/>
          <w:b/>
          <w:bCs/>
          <w:sz w:val="20"/>
          <w:szCs w:val="20"/>
        </w:rPr>
        <w:t>1 072 037,00 zł</w:t>
      </w:r>
      <w:r w:rsidRPr="00825198">
        <w:rPr>
          <w:rFonts w:ascii="Times New Roman" w:hAnsi="Times New Roman" w:cs="Times New Roman"/>
          <w:sz w:val="20"/>
          <w:szCs w:val="20"/>
        </w:rPr>
        <w:t xml:space="preserve">. Na wydatki majątkowe zaplanowano kwotę </w:t>
      </w:r>
      <w:r w:rsidRPr="00825198">
        <w:rPr>
          <w:rFonts w:ascii="Times New Roman" w:hAnsi="Times New Roman" w:cs="Times New Roman"/>
          <w:b/>
          <w:bCs/>
          <w:sz w:val="20"/>
          <w:szCs w:val="20"/>
        </w:rPr>
        <w:t>45 039 929,90 zł</w:t>
      </w:r>
      <w:r w:rsidRPr="00825198">
        <w:rPr>
          <w:rFonts w:ascii="Times New Roman" w:hAnsi="Times New Roman" w:cs="Times New Roman"/>
          <w:sz w:val="20"/>
          <w:szCs w:val="20"/>
        </w:rPr>
        <w:t xml:space="preserve">.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left="0"/>
        <w:rPr>
          <w:rFonts w:ascii="Times New Roman" w:hAnsi="Times New Roman" w:cs="Times New Roman"/>
          <w:sz w:val="20"/>
          <w:szCs w:val="20"/>
        </w:rPr>
      </w:pPr>
      <w:r w:rsidRPr="00825198">
        <w:rPr>
          <w:rFonts w:ascii="Times New Roman" w:hAnsi="Times New Roman" w:cs="Times New Roman"/>
          <w:sz w:val="20"/>
          <w:szCs w:val="20"/>
        </w:rPr>
        <w:t>Wydatki na wynagrodzenia i składki od nich naliczone na rok 2024 zaplanowano w kwocie 27 811 585,31 zł uwzględniając nagrody jubileuszowe i odprawy emerytalne. Uwzględniono wskaźnik wzrostu wynagrodzeń w państwowej sferze budżetowej, wzrost minimalnego wynagrodzenia za pracę w roku 2024 oraz wzrost wydatków w związku z koniecznymi podwyżkami w sferze budżetowej. W kwocie ujęto już wzrost wynagrodzeń nauczycieli wraz z wyrównaniem od dnia 1 stycznia 2024 roku. W ramach wydatków na wynagrodzenia wprowadzono również kwotę uruchomionych – na podstawie złożonego wniosku – środków na dodatki motywacyjne dla pracowników w samorządowych instytucjach opieki do lat 3, pracowników wspierania rodziny i systemu pieczy zastępczej, rodzin zastępczych zawodowych oraz pracowników pomocy społecznej Uchwała nr 61, 62, 63 i 64 rady Ministrów z dnia 19  czerwca 2024 roku).</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Planując wydatki na wynagrodzenia i składki od nich naliczone na lata 2025-2027 przyjęto wykaz planowanych odpraw emerytalnych i nagród jubileuszowych oraz wskaźnik wzrostu wynagrodzeń na poszczególne lata.</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Wśród wydatków bieżących na projekty lub zadania finansowane z udziałem środków, o których mowa w art. 5 ust. 1 pkt 2 i 3 ustawy planowana kwota 22 000,00 zł stanowi kwotę dotacji w ramach umowy partnerskiej na rzecz realizacji projektu </w:t>
      </w:r>
      <w:proofErr w:type="spellStart"/>
      <w:r w:rsidRPr="00825198">
        <w:rPr>
          <w:rFonts w:ascii="Times New Roman" w:hAnsi="Times New Roman" w:cs="Times New Roman"/>
          <w:sz w:val="20"/>
          <w:szCs w:val="20"/>
        </w:rPr>
        <w:t>pn</w:t>
      </w:r>
      <w:proofErr w:type="spellEnd"/>
      <w:r w:rsidRPr="00825198">
        <w:rPr>
          <w:rFonts w:ascii="Times New Roman" w:hAnsi="Times New Roman" w:cs="Times New Roman"/>
          <w:sz w:val="20"/>
          <w:szCs w:val="20"/>
        </w:rPr>
        <w:t xml:space="preserve"> "Klaster Społecznej Energii Partnerstwa Noworudzko-Radkowskiego". Projekt dotyczy opracowania koncepcji rozwoju społeczności energetycznej, utworzenie klastra energii i stworzenie warunków do jego prawnej i organizacyjnej formuły działania. Wniosek o dofinansowanie zostanie złożony w ramach Środków Krajowego Planu Odbudowy i Zwiększania Odporności Inwestycja B2.2.2 Instalacje OZE realizowane przez społeczności energetyczne Działanie A.3: Etap 1-  Rozwój nowych społeczności energetycznych działających w zakresie OZE. Natomiast kwota 66 348,00 zł stanowi kwotę dotacji dla UM Wałbrzych w ramach umowy partnerskiej na rzecz utrzymania funkcjonowania Zintegrowanych Inwestycji Terytorialnych Aglomeracji Wałbrzyskiej w roku 2024.</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825198">
        <w:rPr>
          <w:rFonts w:ascii="Times New Roman" w:hAnsi="Times New Roman" w:cs="Times New Roman"/>
          <w:sz w:val="20"/>
          <w:szCs w:val="20"/>
        </w:rPr>
        <w:t xml:space="preserve">W okresie objętym Wieloletnią Prognozą Finansową tj. lata 2024-2034 </w:t>
      </w:r>
      <w:r w:rsidRPr="00825198">
        <w:rPr>
          <w:rFonts w:ascii="Times New Roman" w:hAnsi="Times New Roman" w:cs="Times New Roman"/>
          <w:b/>
          <w:bCs/>
          <w:sz w:val="20"/>
          <w:szCs w:val="20"/>
        </w:rPr>
        <w:t>Gmina nie planuje wydatków z tytułu gwarancji i poręczeń.</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b/>
          <w:bCs/>
          <w:sz w:val="20"/>
          <w:szCs w:val="20"/>
        </w:rPr>
        <w:t>W roku 2024</w:t>
      </w:r>
      <w:r w:rsidRPr="00825198">
        <w:rPr>
          <w:rFonts w:ascii="Times New Roman" w:hAnsi="Times New Roman" w:cs="Times New Roman"/>
          <w:sz w:val="20"/>
          <w:szCs w:val="20"/>
        </w:rPr>
        <w:t xml:space="preserve"> planuje się </w:t>
      </w:r>
      <w:r w:rsidRPr="00825198">
        <w:rPr>
          <w:rFonts w:ascii="Times New Roman" w:hAnsi="Times New Roman" w:cs="Times New Roman"/>
          <w:b/>
          <w:bCs/>
          <w:sz w:val="20"/>
          <w:szCs w:val="20"/>
        </w:rPr>
        <w:t>przychody</w:t>
      </w:r>
      <w:r w:rsidRPr="00825198">
        <w:rPr>
          <w:rFonts w:ascii="Times New Roman" w:hAnsi="Times New Roman" w:cs="Times New Roman"/>
          <w:sz w:val="20"/>
          <w:szCs w:val="20"/>
        </w:rPr>
        <w:t xml:space="preserve"> w wysokości </w:t>
      </w:r>
      <w:r w:rsidRPr="00825198">
        <w:rPr>
          <w:rFonts w:ascii="Times New Roman" w:hAnsi="Times New Roman" w:cs="Times New Roman"/>
          <w:b/>
          <w:bCs/>
          <w:sz w:val="20"/>
          <w:szCs w:val="20"/>
        </w:rPr>
        <w:t xml:space="preserve">8 900 000,00 zł </w:t>
      </w:r>
      <w:r w:rsidRPr="00825198">
        <w:rPr>
          <w:rFonts w:ascii="Times New Roman" w:hAnsi="Times New Roman" w:cs="Times New Roman"/>
          <w:sz w:val="20"/>
          <w:szCs w:val="20"/>
        </w:rPr>
        <w:t>z tytułu emisji obligacji :</w:t>
      </w:r>
    </w:p>
    <w:p w:rsidR="00825198" w:rsidRPr="00825198" w:rsidRDefault="00825198" w:rsidP="00825198">
      <w:pPr>
        <w:numPr>
          <w:ilvl w:val="0"/>
          <w:numId w:val="5"/>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firstLine="0"/>
        <w:rPr>
          <w:rFonts w:ascii="Times New Roman" w:hAnsi="Times New Roman" w:cs="Times New Roman"/>
          <w:sz w:val="20"/>
          <w:szCs w:val="20"/>
        </w:rPr>
      </w:pPr>
      <w:r w:rsidRPr="00825198">
        <w:rPr>
          <w:rFonts w:ascii="Times New Roman" w:hAnsi="Times New Roman" w:cs="Times New Roman"/>
          <w:sz w:val="20"/>
          <w:szCs w:val="20"/>
        </w:rPr>
        <w:t xml:space="preserve">na pokrycie planowanego deficytu budżetowego stanowiącego </w:t>
      </w:r>
      <w:r w:rsidRPr="00825198">
        <w:rPr>
          <w:rFonts w:ascii="Times New Roman" w:hAnsi="Times New Roman" w:cs="Times New Roman"/>
          <w:b/>
          <w:bCs/>
          <w:sz w:val="20"/>
          <w:szCs w:val="20"/>
        </w:rPr>
        <w:t xml:space="preserve">wynik realizowanych zadań z udziałem </w:t>
      </w:r>
      <w:r w:rsidRPr="00825198">
        <w:rPr>
          <w:rFonts w:ascii="Times New Roman" w:hAnsi="Times New Roman" w:cs="Times New Roman"/>
          <w:b/>
          <w:bCs/>
          <w:sz w:val="20"/>
          <w:szCs w:val="20"/>
        </w:rPr>
        <w:tab/>
      </w:r>
      <w:r w:rsidRPr="00825198">
        <w:rPr>
          <w:rFonts w:ascii="Times New Roman" w:hAnsi="Times New Roman" w:cs="Times New Roman"/>
          <w:b/>
          <w:bCs/>
          <w:sz w:val="20"/>
          <w:szCs w:val="20"/>
        </w:rPr>
        <w:tab/>
      </w:r>
      <w:r w:rsidRPr="00825198">
        <w:rPr>
          <w:rFonts w:ascii="Times New Roman" w:hAnsi="Times New Roman" w:cs="Times New Roman"/>
          <w:b/>
          <w:bCs/>
          <w:sz w:val="20"/>
          <w:szCs w:val="20"/>
        </w:rPr>
        <w:tab/>
        <w:t>środków, o których mowa w art. o których mowa w art. 5 ust. 1 pkt 2 ustawy o finansach publicznych</w:t>
      </w:r>
      <w:r w:rsidRPr="00825198">
        <w:rPr>
          <w:rFonts w:ascii="Times New Roman" w:hAnsi="Times New Roman" w:cs="Times New Roman"/>
          <w:sz w:val="20"/>
          <w:szCs w:val="20"/>
        </w:rPr>
        <w:t xml:space="preserve">, wraz z należnymi odsetkami, do kwoty </w:t>
      </w:r>
      <w:r w:rsidRPr="00825198">
        <w:rPr>
          <w:rFonts w:ascii="Times New Roman" w:hAnsi="Times New Roman" w:cs="Times New Roman"/>
          <w:b/>
          <w:bCs/>
          <w:sz w:val="20"/>
          <w:szCs w:val="20"/>
        </w:rPr>
        <w:t xml:space="preserve"> 8 886 017,08 zł</w:t>
      </w:r>
      <w:r w:rsidRPr="00825198">
        <w:rPr>
          <w:rFonts w:ascii="Times New Roman" w:hAnsi="Times New Roman" w:cs="Times New Roman"/>
          <w:sz w:val="20"/>
          <w:szCs w:val="20"/>
        </w:rPr>
        <w:t xml:space="preserve"> w roku 2024,</w:t>
      </w:r>
    </w:p>
    <w:p w:rsidR="00825198" w:rsidRPr="00825198" w:rsidRDefault="00825198" w:rsidP="00825198">
      <w:pPr>
        <w:numPr>
          <w:ilvl w:val="0"/>
          <w:numId w:val="5"/>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17"/>
        <w:rPr>
          <w:rFonts w:ascii="Times New Roman" w:hAnsi="Times New Roman" w:cs="Times New Roman"/>
          <w:b/>
          <w:bCs/>
          <w:sz w:val="20"/>
          <w:szCs w:val="20"/>
        </w:rPr>
      </w:pPr>
      <w:r w:rsidRPr="00825198">
        <w:rPr>
          <w:rFonts w:ascii="Times New Roman" w:hAnsi="Times New Roman" w:cs="Times New Roman"/>
          <w:sz w:val="20"/>
          <w:szCs w:val="20"/>
        </w:rPr>
        <w:t xml:space="preserve">oraz na spłatę wcześniej zaciągniętych zobowiązań z tytułu zaciągniętych pożyczek i kredytów do kwoty  </w:t>
      </w:r>
      <w:r w:rsidRPr="00825198">
        <w:rPr>
          <w:rFonts w:ascii="Times New Roman" w:hAnsi="Times New Roman" w:cs="Times New Roman"/>
          <w:b/>
          <w:bCs/>
          <w:sz w:val="20"/>
          <w:szCs w:val="20"/>
        </w:rPr>
        <w:t>13 982,92 zł,</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left="0"/>
        <w:rPr>
          <w:rFonts w:ascii="Times New Roman" w:hAnsi="Times New Roman" w:cs="Times New Roman"/>
          <w:sz w:val="20"/>
          <w:szCs w:val="20"/>
        </w:rPr>
      </w:pPr>
      <w:r w:rsidRPr="00825198">
        <w:rPr>
          <w:rFonts w:ascii="Times New Roman" w:hAnsi="Times New Roman" w:cs="Times New Roman"/>
          <w:b/>
          <w:bCs/>
          <w:sz w:val="20"/>
          <w:szCs w:val="20"/>
        </w:rPr>
        <w:t>Oprócz emisji obligacji w roku 2024</w:t>
      </w:r>
      <w:r w:rsidRPr="00825198">
        <w:rPr>
          <w:rFonts w:ascii="Times New Roman" w:hAnsi="Times New Roman" w:cs="Times New Roman"/>
          <w:sz w:val="20"/>
          <w:szCs w:val="20"/>
        </w:rPr>
        <w:t xml:space="preserve"> planuje się również </w:t>
      </w:r>
      <w:r w:rsidRPr="00825198">
        <w:rPr>
          <w:rFonts w:ascii="Times New Roman" w:hAnsi="Times New Roman" w:cs="Times New Roman"/>
          <w:b/>
          <w:bCs/>
          <w:sz w:val="20"/>
          <w:szCs w:val="20"/>
        </w:rPr>
        <w:t>przychody w wysokości 6 271 760,29 zł</w:t>
      </w:r>
      <w:r w:rsidRPr="00825198">
        <w:rPr>
          <w:rFonts w:ascii="Times New Roman" w:hAnsi="Times New Roman" w:cs="Times New Roman"/>
          <w:sz w:val="20"/>
          <w:szCs w:val="20"/>
        </w:rPr>
        <w:t xml:space="preserve"> tytułem:</w:t>
      </w:r>
    </w:p>
    <w:p w:rsidR="00825198" w:rsidRPr="00825198" w:rsidRDefault="00825198" w:rsidP="00825198">
      <w:pPr>
        <w:numPr>
          <w:ilvl w:val="0"/>
          <w:numId w:val="5"/>
        </w:numPr>
        <w:tabs>
          <w:tab w:val="left" w:pos="708"/>
          <w:tab w:val="left" w:pos="107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98" w:line="360" w:lineRule="auto"/>
        <w:ind w:left="1077"/>
        <w:jc w:val="left"/>
        <w:rPr>
          <w:rFonts w:ascii="Times New Roman" w:hAnsi="Times New Roman" w:cs="Times New Roman"/>
          <w:sz w:val="20"/>
          <w:szCs w:val="20"/>
        </w:rPr>
      </w:pPr>
      <w:r w:rsidRPr="00825198">
        <w:rPr>
          <w:rFonts w:ascii="Times New Roman" w:hAnsi="Times New Roman" w:cs="Times New Roman"/>
          <w:sz w:val="20"/>
          <w:szCs w:val="20"/>
        </w:rPr>
        <w:lastRenderedPageBreak/>
        <w:t xml:space="preserve">przychodów jednostek samorządu terytorialnego z niewykorzystanych środków pieniężnych na rachunku bieżącym budżetu, wynikających z rozliczenia dochodów i wydatków nimi finansowanych związanych ze szczególnymi zasadami wykonywania budżetu określonymi w odrębnych ustawach  (Fundusz Przeciwdziałania COVID-19)– </w:t>
      </w:r>
      <w:r w:rsidRPr="00825198">
        <w:rPr>
          <w:rFonts w:ascii="Times New Roman" w:hAnsi="Times New Roman" w:cs="Times New Roman"/>
          <w:b/>
          <w:bCs/>
          <w:sz w:val="20"/>
          <w:szCs w:val="20"/>
        </w:rPr>
        <w:t>kwota 4 628 820,54 zł.</w:t>
      </w:r>
      <w:r w:rsidRPr="00825198">
        <w:rPr>
          <w:rFonts w:ascii="Times New Roman" w:hAnsi="Times New Roman" w:cs="Times New Roman"/>
          <w:sz w:val="20"/>
          <w:szCs w:val="20"/>
        </w:rPr>
        <w:t xml:space="preserve">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rPr>
          <w:rFonts w:ascii="Times New Roman" w:hAnsi="Times New Roman" w:cs="Times New Roman"/>
          <w:sz w:val="20"/>
          <w:szCs w:val="20"/>
        </w:rPr>
      </w:pPr>
      <w:r w:rsidRPr="00825198">
        <w:rPr>
          <w:rFonts w:ascii="Times New Roman" w:hAnsi="Times New Roman" w:cs="Times New Roman"/>
          <w:sz w:val="20"/>
          <w:szCs w:val="20"/>
        </w:rPr>
        <w:t xml:space="preserve">W ramach </w:t>
      </w:r>
      <w:r w:rsidRPr="00825198">
        <w:rPr>
          <w:rFonts w:ascii="Times New Roman" w:hAnsi="Times New Roman" w:cs="Times New Roman"/>
          <w:b/>
          <w:bCs/>
          <w:sz w:val="20"/>
          <w:szCs w:val="20"/>
        </w:rPr>
        <w:t>Rządowego Funduszu Inwestycji Lokalnych</w:t>
      </w:r>
      <w:r w:rsidRPr="00825198">
        <w:rPr>
          <w:rFonts w:ascii="Times New Roman" w:hAnsi="Times New Roman" w:cs="Times New Roman"/>
          <w:sz w:val="20"/>
          <w:szCs w:val="20"/>
        </w:rPr>
        <w:t xml:space="preserve"> (przeciwdziałania Covid-19) Gmina Nowa Ruda otrzymała środki z przeznaczeniem na wkład własny realizowanych inwestycji.</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rPr>
          <w:rFonts w:ascii="Times New Roman" w:hAnsi="Times New Roman" w:cs="Times New Roman"/>
          <w:sz w:val="20"/>
          <w:szCs w:val="20"/>
        </w:rPr>
      </w:pPr>
      <w:r w:rsidRPr="00825198">
        <w:rPr>
          <w:rFonts w:ascii="Times New Roman" w:hAnsi="Times New Roman" w:cs="Times New Roman"/>
          <w:sz w:val="20"/>
          <w:szCs w:val="20"/>
        </w:rPr>
        <w:t xml:space="preserve">Środki te nie zostały wykorzystane w całości i w roku 2024 stanową </w:t>
      </w:r>
      <w:r w:rsidRPr="00825198">
        <w:rPr>
          <w:rFonts w:ascii="Times New Roman" w:hAnsi="Times New Roman" w:cs="Times New Roman"/>
          <w:b/>
          <w:bCs/>
          <w:sz w:val="20"/>
          <w:szCs w:val="20"/>
        </w:rPr>
        <w:t>przychody jednostek samorządu terytorialnego</w:t>
      </w:r>
      <w:r w:rsidRPr="00825198">
        <w:rPr>
          <w:rFonts w:ascii="Times New Roman" w:hAnsi="Times New Roman" w:cs="Times New Roman"/>
          <w:sz w:val="20"/>
          <w:szCs w:val="20"/>
        </w:rPr>
        <w:t xml:space="preserve"> </w:t>
      </w:r>
      <w:r w:rsidRPr="00825198">
        <w:rPr>
          <w:rFonts w:ascii="Times New Roman" w:hAnsi="Times New Roman" w:cs="Times New Roman"/>
          <w:b/>
          <w:bCs/>
          <w:sz w:val="20"/>
          <w:szCs w:val="20"/>
        </w:rPr>
        <w:t>z tytułu niewykorzystanych środków pieniężnych na rachunku bieżącym budżetu –</w:t>
      </w:r>
      <w:r w:rsidRPr="00825198">
        <w:rPr>
          <w:rFonts w:ascii="Times New Roman" w:hAnsi="Times New Roman" w:cs="Times New Roman"/>
          <w:sz w:val="20"/>
          <w:szCs w:val="20"/>
        </w:rPr>
        <w:t>wynikających z rozliczenia dochodów i wydatków nimi finansowanych związanych ze szczególnymi zasadami wykonywania budżetu określonymi w odrębnych ustawach.</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jc w:val="left"/>
        <w:rPr>
          <w:rFonts w:ascii="Times New Roman" w:hAnsi="Times New Roman" w:cs="Times New Roman"/>
          <w:sz w:val="20"/>
          <w:szCs w:val="20"/>
        </w:rPr>
      </w:pPr>
      <w:r w:rsidRPr="00825198">
        <w:rPr>
          <w:rFonts w:ascii="Times New Roman" w:hAnsi="Times New Roman" w:cs="Times New Roman"/>
          <w:sz w:val="20"/>
          <w:szCs w:val="20"/>
        </w:rPr>
        <w:t xml:space="preserve">Dotyczy to dofinansowania budowy hali gimnastycznej w Ludwikowicach Kłodzkich z Funduszu Inwestycji Lokalnych na kwotę 2 043 071,13 zł, Środki te zostały przekazane Gminie Nowa Ruda jeszcze </w:t>
      </w:r>
      <w:r w:rsidRPr="00825198">
        <w:rPr>
          <w:rFonts w:ascii="Times New Roman" w:hAnsi="Times New Roman" w:cs="Times New Roman"/>
          <w:b/>
          <w:bCs/>
          <w:sz w:val="20"/>
          <w:szCs w:val="20"/>
        </w:rPr>
        <w:t>w roku 2020</w:t>
      </w:r>
      <w:r w:rsidRPr="00825198">
        <w:rPr>
          <w:rFonts w:ascii="Times New Roman" w:hAnsi="Times New Roman" w:cs="Times New Roman"/>
          <w:sz w:val="20"/>
          <w:szCs w:val="20"/>
        </w:rPr>
        <w:t xml:space="preserve">. Zgodnie z harmonogramem realizacji zadania w latach 2020-2023 kwota nie została wykorzystana w całości. </w:t>
      </w:r>
    </w:p>
    <w:p w:rsidR="00825198" w:rsidRPr="00825198" w:rsidRDefault="00825198" w:rsidP="00825198">
      <w:p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8"/>
        <w:jc w:val="left"/>
        <w:rPr>
          <w:rFonts w:ascii="Times New Roman" w:hAnsi="Times New Roman" w:cs="Times New Roman"/>
          <w:sz w:val="20"/>
          <w:szCs w:val="20"/>
        </w:rPr>
      </w:pPr>
      <w:r w:rsidRPr="00825198">
        <w:rPr>
          <w:rFonts w:ascii="Times New Roman" w:hAnsi="Times New Roman" w:cs="Times New Roman"/>
          <w:b/>
          <w:bCs/>
          <w:sz w:val="20"/>
          <w:szCs w:val="20"/>
        </w:rPr>
        <w:t>W roku 2021</w:t>
      </w:r>
      <w:r w:rsidRPr="00825198">
        <w:rPr>
          <w:rFonts w:ascii="Times New Roman" w:hAnsi="Times New Roman" w:cs="Times New Roman"/>
          <w:sz w:val="20"/>
          <w:szCs w:val="20"/>
        </w:rPr>
        <w:t xml:space="preserve"> Gmina Nowa Ruda otrzymała środki w wysokości 4 795 643,76 zł na zadanie pod nazwą „Zagospodarowanie zbiornika wodnego wraz z budową infrastruktury rekreacyjnej w Dzikowcu”. W ramach realizacji część zadań przesunięto na rok 2024. Pozostała część to kwota 2 585 749,41 zł;</w:t>
      </w:r>
    </w:p>
    <w:p w:rsidR="00825198" w:rsidRPr="00825198" w:rsidRDefault="00825198" w:rsidP="00825198">
      <w:p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8"/>
        <w:jc w:val="left"/>
        <w:rPr>
          <w:rFonts w:ascii="Times New Roman" w:hAnsi="Times New Roman" w:cs="Times New Roman"/>
          <w:sz w:val="20"/>
          <w:szCs w:val="20"/>
        </w:rPr>
      </w:pPr>
    </w:p>
    <w:p w:rsidR="00825198" w:rsidRPr="00825198" w:rsidRDefault="00825198" w:rsidP="00825198">
      <w:pPr>
        <w:numPr>
          <w:ilvl w:val="0"/>
          <w:numId w:val="6"/>
        </w:num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ind w:left="0"/>
        <w:jc w:val="left"/>
        <w:rPr>
          <w:rFonts w:ascii="Times New Roman" w:hAnsi="Times New Roman" w:cs="Times New Roman"/>
          <w:b/>
          <w:bCs/>
          <w:sz w:val="20"/>
          <w:szCs w:val="20"/>
        </w:rPr>
      </w:pPr>
      <w:r w:rsidRPr="00825198">
        <w:rPr>
          <w:rFonts w:ascii="Times New Roman" w:hAnsi="Times New Roman" w:cs="Times New Roman"/>
          <w:b/>
          <w:bCs/>
          <w:sz w:val="20"/>
          <w:szCs w:val="20"/>
        </w:rPr>
        <w:t xml:space="preserve">1 221 720,00 zł tytułem uruchomienia wolnych środków, o których mowa w art. 217 ust 2 pkt 6 </w:t>
      </w:r>
    </w:p>
    <w:p w:rsidR="00825198" w:rsidRPr="00825198" w:rsidRDefault="00825198" w:rsidP="0082519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ind w:left="0"/>
        <w:jc w:val="left"/>
        <w:rPr>
          <w:rFonts w:ascii="Times New Roman" w:hAnsi="Times New Roman" w:cs="Times New Roman"/>
          <w:b/>
          <w:bCs/>
          <w:sz w:val="20"/>
          <w:szCs w:val="20"/>
        </w:rPr>
      </w:pPr>
      <w:r w:rsidRPr="00825198">
        <w:rPr>
          <w:rFonts w:ascii="Times New Roman" w:hAnsi="Times New Roman" w:cs="Times New Roman"/>
          <w:b/>
          <w:bCs/>
          <w:sz w:val="20"/>
          <w:szCs w:val="20"/>
        </w:rPr>
        <w:tab/>
        <w:t>ustawy o finansach publicznych</w:t>
      </w:r>
    </w:p>
    <w:p w:rsidR="00825198" w:rsidRPr="00825198" w:rsidRDefault="00825198" w:rsidP="0082519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ind w:left="0"/>
        <w:jc w:val="left"/>
        <w:rPr>
          <w:rFonts w:ascii="Times New Roman" w:hAnsi="Times New Roman" w:cs="Times New Roman"/>
          <w:b/>
          <w:bCs/>
          <w:sz w:val="20"/>
          <w:szCs w:val="20"/>
        </w:rPr>
      </w:pPr>
      <w:r w:rsidRPr="00825198">
        <w:rPr>
          <w:rFonts w:ascii="Calibri" w:hAnsi="Calibri" w:cs="Calibri"/>
          <w:noProof/>
          <w:lang w:eastAsia="pl-PL"/>
        </w:rPr>
        <w:lastRenderedPageBreak/>
        <w:drawing>
          <wp:inline distT="0" distB="0" distL="0" distR="0">
            <wp:extent cx="5943600" cy="490982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909820"/>
                    </a:xfrm>
                    <a:prstGeom prst="rect">
                      <a:avLst/>
                    </a:prstGeom>
                    <a:noFill/>
                    <a:ln>
                      <a:noFill/>
                    </a:ln>
                  </pic:spPr>
                </pic:pic>
              </a:graphicData>
            </a:graphic>
          </wp:inline>
        </w:drawing>
      </w:r>
    </w:p>
    <w:p w:rsidR="00825198" w:rsidRPr="00825198" w:rsidRDefault="00825198" w:rsidP="0082519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b/>
          <w:bCs/>
          <w:sz w:val="20"/>
          <w:szCs w:val="20"/>
        </w:rPr>
      </w:pPr>
      <w:r w:rsidRPr="00825198">
        <w:rPr>
          <w:rFonts w:ascii="Times New Roman" w:hAnsi="Times New Roman" w:cs="Times New Roman"/>
          <w:b/>
          <w:bCs/>
          <w:sz w:val="20"/>
          <w:szCs w:val="20"/>
        </w:rPr>
        <w:t>Deficyt roku 2024 planowany jest w wysokości 15 157 777,37 zł. Jego pokryciem są :</w:t>
      </w:r>
    </w:p>
    <w:p w:rsidR="00825198" w:rsidRPr="00825198" w:rsidRDefault="00825198" w:rsidP="00825198">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ind w:left="720" w:hanging="360"/>
        <w:jc w:val="left"/>
        <w:rPr>
          <w:rFonts w:ascii="Calibri" w:hAnsi="Calibri" w:cs="Calibri"/>
          <w:sz w:val="18"/>
          <w:szCs w:val="18"/>
        </w:rPr>
      </w:pPr>
      <w:r w:rsidRPr="00825198">
        <w:rPr>
          <w:rFonts w:ascii="Calibri" w:hAnsi="Calibri" w:cs="Calibri"/>
          <w:b/>
          <w:bCs/>
          <w:sz w:val="18"/>
          <w:szCs w:val="18"/>
        </w:rPr>
        <w:t>przychody jednostek samorządu terytorialnego z tytułu niewykorzystanych środków pieniężnych na rachunku bieżącym budżetu</w:t>
      </w:r>
      <w:r w:rsidRPr="00825198">
        <w:rPr>
          <w:rFonts w:ascii="Calibri" w:hAnsi="Calibri" w:cs="Calibri"/>
          <w:sz w:val="18"/>
          <w:szCs w:val="18"/>
        </w:rPr>
        <w:t>, wynikających z rozliczenia dochodów i wydatków nimi finansowanych związanych ze szczególnymi zasadami wykonywania budżetu określonymi w odrębnych ustawach oraz wynikających z rozliczenia środków określonych w art. 5 ust. 1 pkt 2 i dotacji na realizację programu, projektu lub zadania finansowanego z udziałem tych środków :</w:t>
      </w:r>
    </w:p>
    <w:p w:rsidR="00825198" w:rsidRPr="00825198" w:rsidRDefault="00825198" w:rsidP="00825198">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ind w:left="720" w:hanging="360"/>
        <w:jc w:val="left"/>
        <w:rPr>
          <w:rFonts w:ascii="Calibri" w:hAnsi="Calibri" w:cs="Calibri"/>
          <w:sz w:val="18"/>
          <w:szCs w:val="18"/>
        </w:rPr>
      </w:pPr>
      <w:r w:rsidRPr="00825198">
        <w:rPr>
          <w:rFonts w:ascii="Calibri" w:hAnsi="Calibri" w:cs="Calibri"/>
          <w:b/>
          <w:bCs/>
          <w:sz w:val="18"/>
          <w:szCs w:val="18"/>
        </w:rPr>
        <w:t xml:space="preserve"> RFIL</w:t>
      </w:r>
      <w:r w:rsidRPr="00825198">
        <w:rPr>
          <w:rFonts w:ascii="Calibri" w:hAnsi="Calibri" w:cs="Calibri"/>
          <w:sz w:val="18"/>
          <w:szCs w:val="18"/>
        </w:rPr>
        <w:t xml:space="preserve"> – kwota </w:t>
      </w:r>
      <w:r w:rsidRPr="00825198">
        <w:rPr>
          <w:rFonts w:ascii="Calibri" w:hAnsi="Calibri" w:cs="Calibri"/>
          <w:b/>
          <w:bCs/>
          <w:sz w:val="18"/>
          <w:szCs w:val="18"/>
        </w:rPr>
        <w:t>4 628 820,54 zł</w:t>
      </w:r>
      <w:r w:rsidRPr="00825198">
        <w:rPr>
          <w:rFonts w:ascii="Calibri" w:hAnsi="Calibri" w:cs="Calibri"/>
          <w:sz w:val="18"/>
          <w:szCs w:val="18"/>
        </w:rPr>
        <w:t>,</w:t>
      </w:r>
    </w:p>
    <w:p w:rsidR="00825198" w:rsidRPr="00825198" w:rsidRDefault="00825198" w:rsidP="00825198">
      <w:pPr>
        <w:numPr>
          <w:ilvl w:val="0"/>
          <w:numId w:val="7"/>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825198">
        <w:rPr>
          <w:rFonts w:ascii="Calibri" w:hAnsi="Calibri" w:cs="Calibri"/>
          <w:b/>
          <w:bCs/>
          <w:sz w:val="18"/>
          <w:szCs w:val="18"/>
        </w:rPr>
        <w:t xml:space="preserve">RFRD </w:t>
      </w:r>
      <w:r w:rsidRPr="00825198">
        <w:rPr>
          <w:rFonts w:ascii="Calibri" w:hAnsi="Calibri" w:cs="Calibri"/>
          <w:sz w:val="18"/>
          <w:szCs w:val="18"/>
        </w:rPr>
        <w:t xml:space="preserve">– kwota </w:t>
      </w:r>
      <w:r w:rsidRPr="00825198">
        <w:rPr>
          <w:rFonts w:ascii="Calibri" w:hAnsi="Calibri" w:cs="Calibri"/>
          <w:b/>
          <w:bCs/>
          <w:sz w:val="18"/>
          <w:szCs w:val="18"/>
        </w:rPr>
        <w:t>412 197,60 zł</w:t>
      </w:r>
      <w:r w:rsidRPr="00825198">
        <w:rPr>
          <w:rFonts w:ascii="Calibri" w:hAnsi="Calibri" w:cs="Calibri"/>
          <w:sz w:val="18"/>
          <w:szCs w:val="18"/>
        </w:rPr>
        <w:t>,</w:t>
      </w:r>
    </w:p>
    <w:p w:rsidR="00825198" w:rsidRPr="00825198" w:rsidRDefault="00825198" w:rsidP="00825198">
      <w:pPr>
        <w:numPr>
          <w:ilvl w:val="0"/>
          <w:numId w:val="8"/>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825198">
        <w:rPr>
          <w:rFonts w:ascii="Calibri" w:hAnsi="Calibri" w:cs="Calibri"/>
          <w:sz w:val="18"/>
          <w:szCs w:val="18"/>
        </w:rPr>
        <w:t>niewykorzystane z roku 2023</w:t>
      </w:r>
      <w:r w:rsidRPr="00825198">
        <w:rPr>
          <w:rFonts w:ascii="Calibri" w:hAnsi="Calibri" w:cs="Calibri"/>
          <w:b/>
          <w:bCs/>
          <w:sz w:val="18"/>
          <w:szCs w:val="18"/>
        </w:rPr>
        <w:t xml:space="preserve"> środki przeciwdziałania alkoholizmowi : 9 022,15 zł</w:t>
      </w:r>
    </w:p>
    <w:p w:rsidR="00825198" w:rsidRPr="00825198" w:rsidRDefault="00825198" w:rsidP="00825198">
      <w:pPr>
        <w:numPr>
          <w:ilvl w:val="0"/>
          <w:numId w:val="9"/>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825198">
        <w:rPr>
          <w:rFonts w:ascii="Calibri" w:hAnsi="Calibri" w:cs="Calibri"/>
          <w:b/>
          <w:bCs/>
          <w:sz w:val="18"/>
          <w:szCs w:val="18"/>
        </w:rPr>
        <w:t>emisja obligacji komunalnych</w:t>
      </w:r>
      <w:r w:rsidRPr="00825198">
        <w:rPr>
          <w:rFonts w:ascii="Calibri" w:hAnsi="Calibri" w:cs="Calibri"/>
          <w:sz w:val="18"/>
          <w:szCs w:val="18"/>
        </w:rPr>
        <w:t xml:space="preserve"> – kwota </w:t>
      </w:r>
      <w:r w:rsidRPr="00825198">
        <w:rPr>
          <w:rFonts w:ascii="Calibri" w:hAnsi="Calibri" w:cs="Calibri"/>
          <w:b/>
          <w:bCs/>
          <w:sz w:val="18"/>
          <w:szCs w:val="18"/>
        </w:rPr>
        <w:t>8 886 017,08 zł</w:t>
      </w:r>
      <w:r w:rsidRPr="00825198">
        <w:rPr>
          <w:rFonts w:ascii="Calibri" w:hAnsi="Calibri" w:cs="Calibri"/>
          <w:sz w:val="18"/>
          <w:szCs w:val="18"/>
        </w:rPr>
        <w:t>,</w:t>
      </w:r>
    </w:p>
    <w:p w:rsidR="00825198" w:rsidRPr="00825198" w:rsidRDefault="00825198" w:rsidP="00825198">
      <w:pPr>
        <w:numPr>
          <w:ilvl w:val="0"/>
          <w:numId w:val="9"/>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825198">
        <w:rPr>
          <w:rFonts w:ascii="Calibri" w:hAnsi="Calibri" w:cs="Calibri"/>
          <w:b/>
          <w:bCs/>
          <w:sz w:val="18"/>
          <w:szCs w:val="18"/>
        </w:rPr>
        <w:t>wolne środki, o których mowa w art</w:t>
      </w:r>
      <w:r w:rsidRPr="00825198">
        <w:rPr>
          <w:rFonts w:ascii="Calibri" w:hAnsi="Calibri" w:cs="Calibri"/>
          <w:sz w:val="18"/>
          <w:szCs w:val="18"/>
        </w:rPr>
        <w:t xml:space="preserve">. 217 ust. 2 pkt 6 ustawy o finansach publicznych – </w:t>
      </w:r>
      <w:r w:rsidRPr="00825198">
        <w:rPr>
          <w:rFonts w:ascii="Calibri" w:hAnsi="Calibri" w:cs="Calibri"/>
          <w:b/>
          <w:bCs/>
          <w:sz w:val="18"/>
          <w:szCs w:val="18"/>
        </w:rPr>
        <w:t>1 221 720,00 zł</w:t>
      </w:r>
    </w:p>
    <w:p w:rsidR="00825198" w:rsidRPr="00825198" w:rsidRDefault="00825198" w:rsidP="00825198">
      <w:p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ind w:left="0"/>
        <w:jc w:val="left"/>
        <w:rPr>
          <w:rFonts w:ascii="Calibri" w:hAnsi="Calibri" w:cs="Calibri"/>
          <w:sz w:val="18"/>
          <w:szCs w:val="18"/>
        </w:rPr>
      </w:pPr>
    </w:p>
    <w:p w:rsidR="00825198" w:rsidRPr="00825198" w:rsidRDefault="00825198" w:rsidP="0082519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sz w:val="20"/>
          <w:szCs w:val="20"/>
        </w:rPr>
      </w:pPr>
      <w:r w:rsidRPr="00825198">
        <w:rPr>
          <w:rFonts w:ascii="Times New Roman" w:hAnsi="Times New Roman" w:cs="Times New Roman"/>
          <w:b/>
          <w:bCs/>
          <w:sz w:val="20"/>
          <w:szCs w:val="20"/>
        </w:rPr>
        <w:lastRenderedPageBreak/>
        <w:t xml:space="preserve">Od roku 2024 planowane są wpływy związane z rozliczeniem projektów realizowanych w ramach środków UE oraz dodatkowe środki stanowiące zaciągnięcie nowego zobowiązania na pokrycie spłaty koniecznych zobowiązań. </w:t>
      </w:r>
      <w:r w:rsidRPr="00825198">
        <w:rPr>
          <w:rFonts w:ascii="Times New Roman" w:hAnsi="Times New Roman" w:cs="Times New Roman"/>
          <w:sz w:val="20"/>
          <w:szCs w:val="20"/>
        </w:rPr>
        <w:t xml:space="preserve">Ich prognozowana wielkość wynika z faktu, że w latach następnych w prognozie ujmuje się tylko i wyłącznie już zaakceptowane wstępnie projekty i zadania bez dodatkowego obciążenia budżetu nowymi projektami. </w:t>
      </w:r>
    </w:p>
    <w:p w:rsidR="00825198" w:rsidRPr="00825198" w:rsidRDefault="00825198" w:rsidP="00825198">
      <w:pPr>
        <w:widowControl w:val="0"/>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sz w:val="20"/>
          <w:szCs w:val="20"/>
        </w:rPr>
      </w:pPr>
      <w:r w:rsidRPr="00825198">
        <w:rPr>
          <w:rFonts w:ascii="Times New Roman" w:hAnsi="Times New Roman" w:cs="Times New Roman"/>
          <w:sz w:val="20"/>
          <w:szCs w:val="20"/>
        </w:rPr>
        <w:t xml:space="preserve">W 2024 roku w Wieloletniej Prognozie Finansowej przyjęto </w:t>
      </w:r>
      <w:r w:rsidRPr="00825198">
        <w:rPr>
          <w:rFonts w:ascii="Times New Roman" w:hAnsi="Times New Roman" w:cs="Times New Roman"/>
          <w:b/>
          <w:bCs/>
          <w:sz w:val="20"/>
          <w:szCs w:val="20"/>
        </w:rPr>
        <w:t>rozchody</w:t>
      </w:r>
      <w:r w:rsidRPr="00825198">
        <w:rPr>
          <w:rFonts w:ascii="Times New Roman" w:hAnsi="Times New Roman" w:cs="Times New Roman"/>
          <w:sz w:val="20"/>
          <w:szCs w:val="20"/>
        </w:rPr>
        <w:t xml:space="preserve"> w kwocie </w:t>
      </w:r>
      <w:r w:rsidRPr="00825198">
        <w:rPr>
          <w:rFonts w:ascii="Times New Roman" w:hAnsi="Times New Roman" w:cs="Times New Roman"/>
          <w:b/>
          <w:bCs/>
          <w:sz w:val="20"/>
          <w:szCs w:val="20"/>
        </w:rPr>
        <w:t>13 982,92 zł</w:t>
      </w:r>
      <w:r w:rsidRPr="00825198">
        <w:rPr>
          <w:rFonts w:ascii="Times New Roman" w:hAnsi="Times New Roman" w:cs="Times New Roman"/>
          <w:sz w:val="20"/>
          <w:szCs w:val="20"/>
        </w:rPr>
        <w:t xml:space="preserve"> wynikające:</w:t>
      </w:r>
    </w:p>
    <w:p w:rsidR="00825198" w:rsidRPr="00825198" w:rsidRDefault="00825198" w:rsidP="00825198">
      <w:pPr>
        <w:numPr>
          <w:ilvl w:val="0"/>
          <w:numId w:val="1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 xml:space="preserve">ze spłaty pożyczki z </w:t>
      </w:r>
      <w:proofErr w:type="spellStart"/>
      <w:r w:rsidRPr="00825198">
        <w:rPr>
          <w:rFonts w:ascii="Times New Roman" w:hAnsi="Times New Roman" w:cs="Times New Roman"/>
          <w:sz w:val="20"/>
          <w:szCs w:val="20"/>
        </w:rPr>
        <w:t>WFOŚiGW</w:t>
      </w:r>
      <w:proofErr w:type="spellEnd"/>
      <w:r w:rsidRPr="00825198">
        <w:rPr>
          <w:rFonts w:ascii="Times New Roman" w:hAnsi="Times New Roman" w:cs="Times New Roman"/>
          <w:sz w:val="20"/>
          <w:szCs w:val="20"/>
        </w:rPr>
        <w:t xml:space="preserve"> we Wrocławiu- umowa Nr 286/P/OA/WB/2019 - zadanie inwestycyjne </w:t>
      </w:r>
      <w:proofErr w:type="spellStart"/>
      <w:r w:rsidRPr="00825198">
        <w:rPr>
          <w:rFonts w:ascii="Times New Roman" w:hAnsi="Times New Roman" w:cs="Times New Roman"/>
          <w:sz w:val="20"/>
          <w:szCs w:val="20"/>
        </w:rPr>
        <w:t>pn</w:t>
      </w:r>
      <w:proofErr w:type="spellEnd"/>
      <w:r w:rsidRPr="00825198">
        <w:rPr>
          <w:rFonts w:ascii="Times New Roman" w:hAnsi="Times New Roman" w:cs="Times New Roman"/>
          <w:sz w:val="20"/>
          <w:szCs w:val="20"/>
        </w:rPr>
        <w:t>."Ograniczenie niskiej emisji spalin na obszarze województwa dolnośląskiego - Gmina Nowa Ruda" w ramach programu Priorytetowego "Ograniczenie niskiej emisji na obszarze województwa dolnośląskiego" w kwocie 13 982,92 zł.</w:t>
      </w:r>
    </w:p>
    <w:p w:rsidR="00825198" w:rsidRPr="00825198" w:rsidRDefault="00825198" w:rsidP="00825198">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825198" w:rsidRPr="00825198" w:rsidRDefault="00825198" w:rsidP="00825198">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W Wieloletniej Prognozie Finansowej przyjęte wartości do planu dochodów bieżących i majątkowych oraz wydatków bieżących i majątkowych  na rok 2024 szczegółowo zostały przedstawione w uchwale budżetowej na rok 2024 i są zgodne w zakresie wyniku budżetu i związanych z nim kwot rozchodów oraz długu Gminy.</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b/>
          <w:bCs/>
          <w:sz w:val="20"/>
          <w:szCs w:val="20"/>
        </w:rPr>
        <w:t>Planowana kwota długu na koniec roku 2024</w:t>
      </w:r>
      <w:r w:rsidRPr="00825198">
        <w:rPr>
          <w:rFonts w:ascii="Times New Roman" w:hAnsi="Times New Roman" w:cs="Times New Roman"/>
          <w:sz w:val="20"/>
          <w:szCs w:val="20"/>
        </w:rPr>
        <w:t xml:space="preserve"> wynosi </w:t>
      </w:r>
      <w:r w:rsidRPr="00825198">
        <w:rPr>
          <w:rFonts w:ascii="Times New Roman" w:hAnsi="Times New Roman" w:cs="Times New Roman"/>
          <w:b/>
          <w:bCs/>
          <w:sz w:val="20"/>
          <w:szCs w:val="20"/>
        </w:rPr>
        <w:t>27 502 815,72 zł</w:t>
      </w:r>
      <w:r w:rsidRPr="00825198">
        <w:rPr>
          <w:rFonts w:ascii="Times New Roman" w:hAnsi="Times New Roman" w:cs="Times New Roman"/>
          <w:sz w:val="20"/>
          <w:szCs w:val="20"/>
        </w:rPr>
        <w:t xml:space="preserve"> i wynika: </w:t>
      </w:r>
    </w:p>
    <w:p w:rsidR="00825198" w:rsidRPr="00825198" w:rsidRDefault="00825198" w:rsidP="00825198">
      <w:pPr>
        <w:numPr>
          <w:ilvl w:val="0"/>
          <w:numId w:val="1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z wykupu emisji i obligacji komunalnych – kwota 25 400 000,00 zł,</w:t>
      </w:r>
    </w:p>
    <w:p w:rsidR="00825198" w:rsidRPr="00825198" w:rsidRDefault="00825198" w:rsidP="00825198">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z planowanej emisji i obligacji komunalnych – kwota 2 000 000,00 zł</w:t>
      </w:r>
    </w:p>
    <w:p w:rsidR="00825198" w:rsidRPr="00825198" w:rsidRDefault="00825198" w:rsidP="00825198">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pożyczki z Wojewódzkiego Funduszu Ochrony Środowiska i Gospodarki Wodnej we Wrocławiu na dofinansowanie realizacji zadania "Ograniczenie niskiej emisji spalin na obszarze województwa dolnośląskiego - Gmina Nowa Ruda" ETAP II- kwota 102 815,72 zł,</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Całkowita planowana spłata długu nastąpi w 2034 roku.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color w:val="FF0000"/>
          <w:sz w:val="20"/>
          <w:szCs w:val="20"/>
          <w:u w:val="single"/>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b/>
          <w:bCs/>
          <w:sz w:val="20"/>
          <w:szCs w:val="20"/>
          <w:u w:val="single"/>
        </w:rPr>
        <w:t>Ustalana na lata 2023-2025 relacja łącznej kwoty przypadających w danym roku budżetowym spłat i wykupów określonych w art. 243 ust. 1 ustawy o finansach publicznych,  nie może przekroczyć średniej arytmetycznej z obliczonych dla ostatnich trzech albo siedmiu lat relacji dochodów bieżących powiększonych o dochody ze sprzedaży majątku oraz pomniejszonych o wydatki bieżące do dochodów bieżących budżetu</w:t>
      </w:r>
      <w:r w:rsidRPr="00825198">
        <w:rPr>
          <w:rFonts w:ascii="Times New Roman" w:hAnsi="Times New Roman" w:cs="Times New Roman"/>
          <w:sz w:val="20"/>
          <w:szCs w:val="20"/>
        </w:rPr>
        <w:t xml:space="preserve">.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Wyboru długości okresu stosowanego do wyliczenia relacji dokonuje organ wykonawczy jednostki samorządu terytorialnego do dnia 31 grudnia 2021 r. i informuje o wyborze właściwą regionalną izbę obrachunkową oraz organ stanowiący tej jednostki. Przepis ten ma zastosowanie po raz pierwszy do opracowania i wykonania uchwały budżetowej oraz wieloletniej prognozy finansowej jednostki samorządu terytorialnego na rok 2022.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825198">
        <w:rPr>
          <w:rFonts w:ascii="Times New Roman" w:hAnsi="Times New Roman" w:cs="Times New Roman"/>
          <w:b/>
          <w:bCs/>
          <w:sz w:val="20"/>
          <w:szCs w:val="20"/>
          <w:u w:val="single"/>
        </w:rPr>
        <w:t>W Wieloletniej Prognozie Finansowej Gmina Nowa Ruda przyjęła wariant 3-letni.</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825198">
        <w:rPr>
          <w:rFonts w:ascii="Times New Roman" w:hAnsi="Times New Roman" w:cs="Times New Roman"/>
          <w:b/>
          <w:bCs/>
          <w:sz w:val="20"/>
          <w:szCs w:val="20"/>
          <w:u w:val="single"/>
        </w:rPr>
        <w:t xml:space="preserve">Począwszy od 2024 do 2034 roku zachowana jest dyspozycja art. 243 ustawy o finansach publicznych. </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 xml:space="preserve">Załącznik Nr 2 Wieloletniej Prognozy Finansowej stanowi </w:t>
      </w:r>
      <w:r w:rsidRPr="00825198">
        <w:rPr>
          <w:rFonts w:ascii="Times New Roman" w:hAnsi="Times New Roman" w:cs="Times New Roman"/>
          <w:b/>
          <w:bCs/>
          <w:sz w:val="20"/>
          <w:szCs w:val="20"/>
        </w:rPr>
        <w:t>wykaz przedsięwzięć realizowanych przez Gminę</w:t>
      </w:r>
      <w:r w:rsidRPr="00825198">
        <w:rPr>
          <w:rFonts w:ascii="Times New Roman" w:hAnsi="Times New Roman" w:cs="Times New Roman"/>
          <w:sz w:val="20"/>
          <w:szCs w:val="20"/>
        </w:rPr>
        <w:t xml:space="preserve">, których okres realizacji wykracza poza jeden rok budżetowy. Został opracowany na cały okres przypadający na rozliczenie kwoty długu </w:t>
      </w:r>
      <w:proofErr w:type="spellStart"/>
      <w:r w:rsidRPr="00825198">
        <w:rPr>
          <w:rFonts w:ascii="Times New Roman" w:hAnsi="Times New Roman" w:cs="Times New Roman"/>
          <w:sz w:val="20"/>
          <w:szCs w:val="20"/>
        </w:rPr>
        <w:t>jst</w:t>
      </w:r>
      <w:proofErr w:type="spellEnd"/>
      <w:r w:rsidRPr="00825198">
        <w:rPr>
          <w:rFonts w:ascii="Times New Roman" w:hAnsi="Times New Roman" w:cs="Times New Roman"/>
          <w:sz w:val="20"/>
          <w:szCs w:val="20"/>
        </w:rPr>
        <w:t xml:space="preserve">. Ich szczegółowy wykaz wraz z limitem wydatków określa </w:t>
      </w:r>
      <w:r w:rsidRPr="00825198">
        <w:rPr>
          <w:rFonts w:ascii="Times New Roman" w:hAnsi="Times New Roman" w:cs="Times New Roman"/>
          <w:b/>
          <w:bCs/>
          <w:sz w:val="20"/>
          <w:szCs w:val="20"/>
        </w:rPr>
        <w:t>załącznik nr 2 do uchwały</w:t>
      </w:r>
      <w:r w:rsidRPr="00825198">
        <w:rPr>
          <w:rFonts w:ascii="Times New Roman" w:hAnsi="Times New Roman" w:cs="Times New Roman"/>
          <w:sz w:val="20"/>
          <w:szCs w:val="20"/>
        </w:rPr>
        <w:t>.</w:t>
      </w:r>
    </w:p>
    <w:p w:rsidR="00825198" w:rsidRPr="00825198" w:rsidRDefault="00825198" w:rsidP="008251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sz w:val="20"/>
          <w:szCs w:val="20"/>
        </w:rPr>
      </w:pPr>
      <w:r w:rsidRPr="00825198">
        <w:rPr>
          <w:rFonts w:ascii="Times New Roman" w:hAnsi="Times New Roman" w:cs="Times New Roman"/>
          <w:sz w:val="20"/>
          <w:szCs w:val="20"/>
        </w:rPr>
        <w:t>Pozostałe zadania przyjęte do realizacji na 2024 rok planowane są do wykonania i zakończenia w roku 2024.</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b/>
          <w:bCs/>
          <w:sz w:val="20"/>
          <w:szCs w:val="20"/>
        </w:rPr>
        <w:t>Załącznik nr 3 stanowią objaśnienia</w:t>
      </w:r>
      <w:r w:rsidRPr="00825198">
        <w:rPr>
          <w:rFonts w:ascii="Times New Roman" w:hAnsi="Times New Roman" w:cs="Times New Roman"/>
          <w:sz w:val="20"/>
          <w:szCs w:val="20"/>
        </w:rPr>
        <w:t xml:space="preserve"> dotyczące metodologii przyjętych założeń oraz analizę danych prezentowanych w Wieloletniej Prognozie Finansowej.</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825198">
        <w:rPr>
          <w:rFonts w:ascii="Times New Roman" w:hAnsi="Times New Roman" w:cs="Times New Roman"/>
          <w:sz w:val="20"/>
          <w:szCs w:val="20"/>
        </w:rPr>
        <w:t>Odległy czas prognozowania zwiększa ryzyko niewłaściwego oszacowania wartości przyjętych w prognozie w odniesieniu do faktycznie uzyskanych. W związku z powyższym Wieloletnia Prognoza Finansowa będzie corocznie nowelizowana w ramach poniższych założeń:</w:t>
      </w:r>
    </w:p>
    <w:p w:rsidR="00825198" w:rsidRPr="00825198" w:rsidRDefault="00825198" w:rsidP="00825198">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825198">
        <w:rPr>
          <w:rFonts w:ascii="Times New Roman" w:hAnsi="Times New Roman" w:cs="Times New Roman"/>
          <w:sz w:val="20"/>
          <w:szCs w:val="20"/>
        </w:rPr>
        <w:t>dla danego roku będą przyjmowane wartości wynikające z projektu budżetu,</w:t>
      </w:r>
    </w:p>
    <w:p w:rsidR="00825198" w:rsidRPr="00825198" w:rsidRDefault="00825198" w:rsidP="00825198">
      <w:pPr>
        <w:widowControl w:val="0"/>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Calibri" w:hAnsi="Calibri" w:cs="Calibri"/>
          <w:sz w:val="20"/>
          <w:szCs w:val="20"/>
        </w:rPr>
      </w:pPr>
      <w:r w:rsidRPr="00825198">
        <w:rPr>
          <w:rFonts w:ascii="Times New Roman" w:hAnsi="Times New Roman" w:cs="Times New Roman"/>
          <w:sz w:val="20"/>
          <w:szCs w:val="20"/>
        </w:rPr>
        <w:t>na pozostałe lata przyjmowane wartości będą prognozowane o poszczególne wskaźniki PKB i CPI oraz wskaźniki inflacji.</w:t>
      </w:r>
    </w:p>
    <w:p w:rsidR="00825198" w:rsidRPr="00825198" w:rsidRDefault="00825198" w:rsidP="0082519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825198" w:rsidRPr="00825198" w:rsidRDefault="00825198" w:rsidP="0082519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0"/>
        <w:rPr>
          <w:rFonts w:ascii="Calibri" w:hAnsi="Calibri" w:cs="Calibri"/>
          <w:b/>
          <w:bCs/>
          <w:sz w:val="20"/>
          <w:szCs w:val="20"/>
          <w:u w:val="single"/>
        </w:rPr>
      </w:pPr>
    </w:p>
    <w:p w:rsidR="00825198" w:rsidRPr="00825198" w:rsidRDefault="00825198" w:rsidP="0082519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0"/>
        <w:rPr>
          <w:rFonts w:ascii="Calibri" w:hAnsi="Calibri" w:cs="Calibri"/>
          <w:b/>
          <w:bCs/>
          <w:sz w:val="20"/>
          <w:szCs w:val="20"/>
          <w:u w:val="single"/>
        </w:rPr>
      </w:pPr>
      <w:r w:rsidRPr="00825198">
        <w:rPr>
          <w:rFonts w:ascii="Calibri" w:hAnsi="Calibri" w:cs="Calibri"/>
          <w:b/>
          <w:bCs/>
          <w:sz w:val="20"/>
          <w:szCs w:val="20"/>
          <w:u w:val="single"/>
        </w:rPr>
        <w:t>DODATKOWE OBJAŚNIENIA DO WIELOLETNIEJ PROGNOZY FINANSOWEJ</w:t>
      </w:r>
    </w:p>
    <w:p w:rsidR="00825198" w:rsidRPr="00825198" w:rsidRDefault="00825198" w:rsidP="0082519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825198" w:rsidRPr="00825198" w:rsidRDefault="00825198" w:rsidP="00825198">
      <w:pPr>
        <w:numPr>
          <w:ilvl w:val="0"/>
          <w:numId w:val="15"/>
        </w:num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Times New Roman" w:hAnsi="Times New Roman" w:cs="Times New Roman"/>
          <w:b/>
          <w:bCs/>
          <w:sz w:val="20"/>
          <w:szCs w:val="20"/>
          <w:u w:val="single"/>
        </w:rPr>
      </w:pPr>
      <w:r w:rsidRPr="00825198">
        <w:rPr>
          <w:rFonts w:ascii="Times New Roman" w:hAnsi="Times New Roman" w:cs="Times New Roman"/>
          <w:sz w:val="20"/>
          <w:szCs w:val="20"/>
        </w:rPr>
        <w:t xml:space="preserve">W związku z </w:t>
      </w:r>
      <w:r w:rsidRPr="00825198">
        <w:rPr>
          <w:rFonts w:ascii="Times New Roman" w:hAnsi="Times New Roman" w:cs="Times New Roman"/>
          <w:b/>
          <w:bCs/>
          <w:sz w:val="20"/>
          <w:szCs w:val="20"/>
        </w:rPr>
        <w:t xml:space="preserve">art. 15 </w:t>
      </w:r>
      <w:proofErr w:type="spellStart"/>
      <w:r w:rsidRPr="00825198">
        <w:rPr>
          <w:rFonts w:ascii="Times New Roman" w:hAnsi="Times New Roman" w:cs="Times New Roman"/>
          <w:b/>
          <w:bCs/>
          <w:sz w:val="20"/>
          <w:szCs w:val="20"/>
        </w:rPr>
        <w:t>zob</w:t>
      </w:r>
      <w:proofErr w:type="spellEnd"/>
      <w:r w:rsidRPr="00825198">
        <w:rPr>
          <w:rFonts w:ascii="Times New Roman" w:hAnsi="Times New Roman" w:cs="Times New Roman"/>
          <w:b/>
          <w:bCs/>
          <w:sz w:val="20"/>
          <w:szCs w:val="20"/>
        </w:rPr>
        <w:t xml:space="preserve"> ustawy z dnia 2 marca 2020 roku o szczególnych rozwiązaniach związanych z zapobieganiem, przeciwdziałaniem i zwalczaniem COVID-19, innych chorób zakaźnych oraz wywołanych nimi sytuacji kryzysowych</w:t>
      </w:r>
      <w:r w:rsidRPr="00825198">
        <w:rPr>
          <w:rFonts w:ascii="Times New Roman" w:hAnsi="Times New Roman" w:cs="Times New Roman"/>
          <w:sz w:val="20"/>
          <w:szCs w:val="20"/>
        </w:rPr>
        <w:t xml:space="preserve">  (</w:t>
      </w:r>
      <w:proofErr w:type="spellStart"/>
      <w:r w:rsidRPr="00825198">
        <w:rPr>
          <w:rFonts w:ascii="Times New Roman" w:hAnsi="Times New Roman" w:cs="Times New Roman"/>
          <w:sz w:val="20"/>
          <w:szCs w:val="20"/>
        </w:rPr>
        <w:t>t.j</w:t>
      </w:r>
      <w:proofErr w:type="spellEnd"/>
      <w:r w:rsidRPr="00825198">
        <w:rPr>
          <w:rFonts w:ascii="Times New Roman" w:hAnsi="Times New Roman" w:cs="Times New Roman"/>
          <w:sz w:val="20"/>
          <w:szCs w:val="20"/>
        </w:rPr>
        <w:t xml:space="preserve">. Dz.U. 2020 poz. 1842) </w:t>
      </w:r>
      <w:r w:rsidRPr="00825198">
        <w:rPr>
          <w:rFonts w:ascii="Times New Roman" w:hAnsi="Times New Roman" w:cs="Times New Roman"/>
          <w:b/>
          <w:bCs/>
          <w:sz w:val="20"/>
          <w:szCs w:val="20"/>
          <w:u w:val="single"/>
        </w:rPr>
        <w:t xml:space="preserve">w roku 2020 dokonano </w:t>
      </w:r>
      <w:proofErr w:type="spellStart"/>
      <w:r w:rsidRPr="00825198">
        <w:rPr>
          <w:rFonts w:ascii="Times New Roman" w:hAnsi="Times New Roman" w:cs="Times New Roman"/>
          <w:b/>
          <w:bCs/>
          <w:sz w:val="20"/>
          <w:szCs w:val="20"/>
          <w:u w:val="single"/>
        </w:rPr>
        <w:t>wyłączeń</w:t>
      </w:r>
      <w:proofErr w:type="spellEnd"/>
      <w:r w:rsidRPr="00825198">
        <w:rPr>
          <w:rFonts w:ascii="Times New Roman" w:hAnsi="Times New Roman" w:cs="Times New Roman"/>
          <w:b/>
          <w:bCs/>
          <w:sz w:val="20"/>
          <w:szCs w:val="20"/>
          <w:u w:val="single"/>
        </w:rPr>
        <w:t>:</w:t>
      </w: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p>
    <w:p w:rsidR="00825198" w:rsidRPr="00825198" w:rsidRDefault="00825198" w:rsidP="008251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r w:rsidRPr="00825198">
        <w:rPr>
          <w:rFonts w:ascii="Times New Roman" w:hAnsi="Times New Roman" w:cs="Times New Roman"/>
          <w:sz w:val="20"/>
          <w:szCs w:val="20"/>
        </w:rPr>
        <w:t xml:space="preserve">-  </w:t>
      </w:r>
      <w:r w:rsidRPr="00825198">
        <w:rPr>
          <w:rFonts w:ascii="Times New Roman" w:hAnsi="Times New Roman" w:cs="Times New Roman"/>
          <w:b/>
          <w:bCs/>
          <w:sz w:val="20"/>
          <w:szCs w:val="20"/>
        </w:rPr>
        <w:t>w pozycji 10.11</w:t>
      </w:r>
      <w:r w:rsidRPr="00825198">
        <w:rPr>
          <w:rFonts w:ascii="Times New Roman" w:hAnsi="Times New Roman" w:cs="Times New Roman"/>
          <w:sz w:val="20"/>
          <w:szCs w:val="20"/>
        </w:rPr>
        <w:t xml:space="preserve"> – </w:t>
      </w:r>
      <w:r w:rsidRPr="00825198">
        <w:rPr>
          <w:rFonts w:ascii="Times New Roman" w:hAnsi="Times New Roman" w:cs="Times New Roman"/>
          <w:b/>
          <w:bCs/>
          <w:sz w:val="20"/>
          <w:szCs w:val="20"/>
        </w:rPr>
        <w:t>kwota 127 549,39 zł</w:t>
      </w:r>
      <w:r w:rsidRPr="00825198">
        <w:rPr>
          <w:rFonts w:ascii="Times New Roman" w:hAnsi="Times New Roman" w:cs="Times New Roman"/>
          <w:sz w:val="20"/>
          <w:szCs w:val="20"/>
        </w:rPr>
        <w:t xml:space="preserve"> – wyłączenie dotyczy wydatków bieżących ponoszonych w 2020 r. w celu realizacji zadań związanych z przeciwdziałaniem COVID - 19, które stosownie </w:t>
      </w:r>
      <w:r w:rsidRPr="00825198">
        <w:rPr>
          <w:rFonts w:ascii="Times New Roman" w:hAnsi="Times New Roman" w:cs="Times New Roman"/>
          <w:b/>
          <w:bCs/>
          <w:sz w:val="20"/>
          <w:szCs w:val="20"/>
          <w:u w:val="single"/>
        </w:rPr>
        <w:t xml:space="preserve">do art. 15 </w:t>
      </w:r>
      <w:proofErr w:type="spellStart"/>
      <w:r w:rsidRPr="00825198">
        <w:rPr>
          <w:rFonts w:ascii="Times New Roman" w:hAnsi="Times New Roman" w:cs="Times New Roman"/>
          <w:b/>
          <w:bCs/>
          <w:sz w:val="20"/>
          <w:szCs w:val="20"/>
          <w:u w:val="single"/>
        </w:rPr>
        <w:t>zob</w:t>
      </w:r>
      <w:proofErr w:type="spellEnd"/>
      <w:r w:rsidRPr="00825198">
        <w:rPr>
          <w:rFonts w:ascii="Times New Roman" w:hAnsi="Times New Roman" w:cs="Times New Roman"/>
          <w:b/>
          <w:bCs/>
          <w:sz w:val="20"/>
          <w:szCs w:val="20"/>
          <w:u w:val="single"/>
        </w:rPr>
        <w:t xml:space="preserve"> ust. 2 pkt 2 ustawy</w:t>
      </w:r>
      <w:r w:rsidRPr="00825198">
        <w:rPr>
          <w:rFonts w:ascii="Times New Roman" w:hAnsi="Times New Roman" w:cs="Times New Roman"/>
          <w:sz w:val="20"/>
          <w:szCs w:val="20"/>
        </w:rPr>
        <w:t xml:space="preserve"> przy wyliczaniu wskaźnika spłaty zobowiązań na rok 2021 i kolejne lata, będą pomniejszały wydatki bieżące.  Zgodnie z wyjaśnieniami opublikowanymi przez MF w związku z opublikowaniem nowego wzoru WPF- wprowadzono kwotę wydatków o charakterze bieżącym, </w:t>
      </w:r>
      <w:r w:rsidRPr="00825198">
        <w:rPr>
          <w:rFonts w:ascii="Times New Roman" w:hAnsi="Times New Roman" w:cs="Times New Roman"/>
          <w:b/>
          <w:bCs/>
          <w:sz w:val="20"/>
          <w:szCs w:val="20"/>
          <w:u w:val="single"/>
        </w:rPr>
        <w:t>które zostały uruchomione bezpośrednio w efekcie wystąpienia pandemii. Są to wydatki wcześniej nie planowane i realizowane w ramach zarządzania kryzysowego</w:t>
      </w:r>
      <w:r w:rsidRPr="00825198">
        <w:rPr>
          <w:rFonts w:ascii="Times New Roman" w:hAnsi="Times New Roman" w:cs="Times New Roman"/>
          <w:sz w:val="20"/>
          <w:szCs w:val="20"/>
        </w:rPr>
        <w:t xml:space="preserve">. </w:t>
      </w:r>
    </w:p>
    <w:p w:rsidR="00825198" w:rsidRPr="00825198" w:rsidRDefault="00825198" w:rsidP="00825198">
      <w:pPr>
        <w:tabs>
          <w:tab w:val="left" w:pos="35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Calibri" w:hAnsi="Calibri" w:cs="Calibri"/>
          <w:sz w:val="20"/>
          <w:szCs w:val="20"/>
        </w:rPr>
      </w:pPr>
    </w:p>
    <w:p w:rsidR="00825198" w:rsidRPr="00825198" w:rsidRDefault="00825198" w:rsidP="00825198">
      <w:pPr>
        <w:numPr>
          <w:ilvl w:val="0"/>
          <w:numId w:val="16"/>
        </w:num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Times New Roman" w:hAnsi="Times New Roman" w:cs="Times New Roman"/>
          <w:b/>
          <w:bCs/>
          <w:sz w:val="20"/>
          <w:szCs w:val="20"/>
        </w:rPr>
      </w:pPr>
      <w:r w:rsidRPr="00825198">
        <w:rPr>
          <w:rFonts w:ascii="Times New Roman" w:hAnsi="Times New Roman" w:cs="Times New Roman"/>
          <w:b/>
          <w:bCs/>
          <w:sz w:val="20"/>
          <w:szCs w:val="20"/>
          <w:u w:val="single"/>
        </w:rPr>
        <w:t xml:space="preserve">w roku 2022 dokonano </w:t>
      </w:r>
      <w:proofErr w:type="spellStart"/>
      <w:r w:rsidRPr="00825198">
        <w:rPr>
          <w:rFonts w:ascii="Times New Roman" w:hAnsi="Times New Roman" w:cs="Times New Roman"/>
          <w:b/>
          <w:bCs/>
          <w:sz w:val="20"/>
          <w:szCs w:val="20"/>
          <w:u w:val="single"/>
        </w:rPr>
        <w:t>wyłączeń</w:t>
      </w:r>
      <w:proofErr w:type="spellEnd"/>
      <w:r w:rsidRPr="00825198">
        <w:rPr>
          <w:rFonts w:ascii="Times New Roman" w:hAnsi="Times New Roman" w:cs="Times New Roman"/>
          <w:b/>
          <w:bCs/>
          <w:sz w:val="20"/>
          <w:szCs w:val="20"/>
        </w:rPr>
        <w:t xml:space="preserve"> :</w:t>
      </w:r>
    </w:p>
    <w:p w:rsidR="00825198" w:rsidRPr="00825198" w:rsidRDefault="00825198" w:rsidP="008251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r w:rsidRPr="00825198">
        <w:rPr>
          <w:rFonts w:ascii="Times New Roman" w:hAnsi="Times New Roman" w:cs="Times New Roman"/>
          <w:b/>
          <w:bCs/>
          <w:sz w:val="20"/>
          <w:szCs w:val="20"/>
        </w:rPr>
        <w:t>poz. 10.11</w:t>
      </w:r>
      <w:r w:rsidRPr="00825198">
        <w:rPr>
          <w:rFonts w:ascii="Times New Roman" w:hAnsi="Times New Roman" w:cs="Times New Roman"/>
          <w:sz w:val="20"/>
          <w:szCs w:val="20"/>
        </w:rPr>
        <w:t xml:space="preserve"> - </w:t>
      </w:r>
      <w:r w:rsidRPr="00825198">
        <w:rPr>
          <w:rFonts w:ascii="Times New Roman" w:hAnsi="Times New Roman" w:cs="Times New Roman"/>
          <w:b/>
          <w:bCs/>
          <w:sz w:val="20"/>
          <w:szCs w:val="20"/>
        </w:rPr>
        <w:t>W związku z art. 110 ustawy z dnia 12 marca 2022 roku o pomocy obywatelom Ukrainy</w:t>
      </w:r>
      <w:r w:rsidRPr="00825198">
        <w:rPr>
          <w:rFonts w:ascii="Times New Roman" w:hAnsi="Times New Roman" w:cs="Times New Roman"/>
          <w:sz w:val="20"/>
          <w:szCs w:val="20"/>
        </w:rPr>
        <w:t xml:space="preserve"> w związku z konfliktem zbrojnym na terenie tego państwa (</w:t>
      </w:r>
      <w:proofErr w:type="spellStart"/>
      <w:r w:rsidRPr="00825198">
        <w:rPr>
          <w:rFonts w:ascii="Times New Roman" w:hAnsi="Times New Roman" w:cs="Times New Roman"/>
          <w:sz w:val="20"/>
          <w:szCs w:val="20"/>
        </w:rPr>
        <w:t>t.j</w:t>
      </w:r>
      <w:proofErr w:type="spellEnd"/>
      <w:r w:rsidRPr="00825198">
        <w:rPr>
          <w:rFonts w:ascii="Times New Roman" w:hAnsi="Times New Roman" w:cs="Times New Roman"/>
          <w:sz w:val="20"/>
          <w:szCs w:val="20"/>
        </w:rPr>
        <w:t xml:space="preserve">. Dz.U. 2022 poz. 583) w roku 2022 dokonano wyłączenia kwoty </w:t>
      </w:r>
      <w:r w:rsidRPr="00825198">
        <w:rPr>
          <w:rFonts w:ascii="Times New Roman" w:hAnsi="Times New Roman" w:cs="Times New Roman"/>
          <w:b/>
          <w:bCs/>
          <w:sz w:val="20"/>
          <w:szCs w:val="20"/>
        </w:rPr>
        <w:t>96 451,54 zł</w:t>
      </w:r>
      <w:r w:rsidRPr="00825198">
        <w:rPr>
          <w:rFonts w:ascii="Times New Roman" w:hAnsi="Times New Roman" w:cs="Times New Roman"/>
          <w:sz w:val="20"/>
          <w:szCs w:val="20"/>
        </w:rPr>
        <w:t xml:space="preserve"> tytułem uruchomionych środków własnych na pokrycie kosztów pobytu uchodźców na terenie Gminy Nowa Ruda. Środki te zostały uruchomione Zarządzeniem Wójta nr 106/22 z dnia 23 marca 2022 roku (uruchomienie rezerwy na zarządzanie kryzysowe- 220 00,00 zł) oraz uchwałą Rady Gminy Nowa Ruda z dnia 30 marca 2022 roku (kwota 100 000,00 zł).</w:t>
      </w:r>
    </w:p>
    <w:p w:rsidR="00825198" w:rsidRPr="00825198" w:rsidRDefault="00825198" w:rsidP="008251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rPr>
          <w:rFonts w:ascii="Times New Roman" w:hAnsi="Times New Roman" w:cs="Times New Roman"/>
          <w:sz w:val="20"/>
          <w:szCs w:val="20"/>
        </w:rPr>
      </w:pPr>
    </w:p>
    <w:p w:rsidR="00825198" w:rsidRPr="00825198" w:rsidRDefault="00825198" w:rsidP="008251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Times New Roman" w:hAnsi="Times New Roman" w:cs="Times New Roman"/>
          <w:sz w:val="20"/>
          <w:szCs w:val="20"/>
        </w:rPr>
      </w:pPr>
    </w:p>
    <w:p w:rsidR="00825198" w:rsidRPr="00825198" w:rsidRDefault="00825198" w:rsidP="00825198">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Calibri" w:hAnsi="Calibri" w:cs="Calibri"/>
        </w:rPr>
      </w:pPr>
    </w:p>
    <w:p w:rsidR="00825198" w:rsidRPr="00825198" w:rsidRDefault="00825198" w:rsidP="008251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825198" w:rsidRPr="00825198" w:rsidRDefault="00825198" w:rsidP="008251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825198" w:rsidRPr="00825198" w:rsidRDefault="00825198" w:rsidP="008251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825198" w:rsidRPr="00825198" w:rsidRDefault="00825198" w:rsidP="008251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825198" w:rsidRPr="00825198" w:rsidRDefault="00825198" w:rsidP="00825198">
      <w:pPr>
        <w:widowControl w:val="0"/>
        <w:autoSpaceDE w:val="0"/>
        <w:autoSpaceDN w:val="0"/>
        <w:adjustRightInd w:val="0"/>
        <w:ind w:left="0"/>
        <w:jc w:val="left"/>
        <w:rPr>
          <w:rFonts w:ascii="Calibri" w:hAnsi="Calibri" w:cs="Calibri"/>
        </w:rPr>
      </w:pPr>
    </w:p>
    <w:p w:rsidR="00E63CDB" w:rsidRDefault="00E63CDB">
      <w:bookmarkStart w:id="0" w:name="_GoBack"/>
      <w:bookmarkEnd w:id="0"/>
    </w:p>
    <w:sectPr w:rsidR="00E63CDB" w:rsidSect="00DC2741">
      <w:pgSz w:w="12240" w:h="15840"/>
      <w:pgMar w:top="1417" w:right="1417" w:bottom="1417" w:left="1417"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08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abstractNum>
  <w:abstractNum w:abstractNumId="1" w15:restartNumberingAfterBreak="0">
    <w:nsid w:val="00000002"/>
    <w:multiLevelType w:val="multilevel"/>
    <w:tmpl w:val="00000002"/>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2" w15:restartNumberingAfterBreak="0">
    <w:nsid w:val="00000003"/>
    <w:multiLevelType w:val="multilevel"/>
    <w:tmpl w:val="00000003"/>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00000004"/>
    <w:multiLevelType w:val="multilevel"/>
    <w:tmpl w:val="00000004"/>
    <w:lvl w:ilvl="0">
      <w:start w:val="1"/>
      <w:numFmt w:val="bullet"/>
      <w:lvlText w:val=""/>
      <w:lvlJc w:val="left"/>
      <w:rPr>
        <w:rFonts w:ascii="Symbol" w:hAnsi="Symbol" w:cs="Symbol" w:hint="default"/>
        <w:b/>
        <w:bCs/>
        <w:i w:val="0"/>
        <w:iCs w:val="0"/>
        <w:strike w:val="0"/>
        <w:color w:val="auto"/>
        <w:sz w:val="20"/>
        <w:szCs w:val="20"/>
        <w:u w:val="none"/>
      </w:rPr>
    </w:lvl>
    <w:lvl w:ilvl="1">
      <w:start w:val="1"/>
      <w:numFmt w:val="bullet"/>
      <w:lvlText w:val=""/>
      <w:lvlJc w:val="left"/>
      <w:rPr>
        <w:rFonts w:ascii="Symbol" w:hAnsi="Symbol" w:cs="Symbol" w:hint="default"/>
        <w:b/>
        <w:bCs/>
        <w:i w:val="0"/>
        <w:iCs w:val="0"/>
        <w:strike w:val="0"/>
        <w:color w:val="auto"/>
        <w:sz w:val="20"/>
        <w:szCs w:val="20"/>
        <w:u w:val="none"/>
      </w:rPr>
    </w:lvl>
    <w:lvl w:ilvl="2">
      <w:start w:val="1"/>
      <w:numFmt w:val="bullet"/>
      <w:lvlText w:val=""/>
      <w:lvlJc w:val="left"/>
      <w:rPr>
        <w:rFonts w:ascii="Symbol" w:hAnsi="Symbol" w:cs="Symbol" w:hint="default"/>
        <w:b/>
        <w:bCs/>
        <w:i w:val="0"/>
        <w:iCs w:val="0"/>
        <w:strike w:val="0"/>
        <w:color w:val="auto"/>
        <w:sz w:val="20"/>
        <w:szCs w:val="20"/>
        <w:u w:val="none"/>
      </w:rPr>
    </w:lvl>
    <w:lvl w:ilvl="3">
      <w:start w:val="1"/>
      <w:numFmt w:val="bullet"/>
      <w:lvlText w:val=""/>
      <w:lvlJc w:val="left"/>
      <w:rPr>
        <w:rFonts w:ascii="Symbol" w:hAnsi="Symbol" w:cs="Symbol" w:hint="default"/>
        <w:b/>
        <w:bCs/>
        <w:i w:val="0"/>
        <w:iCs w:val="0"/>
        <w:strike w:val="0"/>
        <w:color w:val="auto"/>
        <w:sz w:val="20"/>
        <w:szCs w:val="20"/>
        <w:u w:val="none"/>
      </w:rPr>
    </w:lvl>
    <w:lvl w:ilvl="4">
      <w:start w:val="1"/>
      <w:numFmt w:val="bullet"/>
      <w:lvlText w:val=""/>
      <w:lvlJc w:val="left"/>
      <w:rPr>
        <w:rFonts w:ascii="Symbol" w:hAnsi="Symbol" w:cs="Symbol" w:hint="default"/>
        <w:b/>
        <w:bCs/>
        <w:i w:val="0"/>
        <w:iCs w:val="0"/>
        <w:strike w:val="0"/>
        <w:color w:val="auto"/>
        <w:sz w:val="20"/>
        <w:szCs w:val="20"/>
        <w:u w:val="none"/>
      </w:rPr>
    </w:lvl>
    <w:lvl w:ilvl="5">
      <w:start w:val="1"/>
      <w:numFmt w:val="bullet"/>
      <w:lvlText w:val=""/>
      <w:lvlJc w:val="left"/>
      <w:rPr>
        <w:rFonts w:ascii="Symbol" w:hAnsi="Symbol" w:cs="Symbol" w:hint="default"/>
        <w:b/>
        <w:bCs/>
        <w:i w:val="0"/>
        <w:iCs w:val="0"/>
        <w:strike w:val="0"/>
        <w:color w:val="auto"/>
        <w:sz w:val="20"/>
        <w:szCs w:val="20"/>
        <w:u w:val="none"/>
      </w:rPr>
    </w:lvl>
    <w:lvl w:ilvl="6">
      <w:start w:val="1"/>
      <w:numFmt w:val="bullet"/>
      <w:lvlText w:val=""/>
      <w:lvlJc w:val="left"/>
      <w:rPr>
        <w:rFonts w:ascii="Symbol" w:hAnsi="Symbol" w:cs="Symbol" w:hint="default"/>
        <w:b/>
        <w:bCs/>
        <w:i w:val="0"/>
        <w:iCs w:val="0"/>
        <w:strike w:val="0"/>
        <w:color w:val="auto"/>
        <w:sz w:val="20"/>
        <w:szCs w:val="20"/>
        <w:u w:val="none"/>
      </w:rPr>
    </w:lvl>
    <w:lvl w:ilvl="7">
      <w:start w:val="1"/>
      <w:numFmt w:val="bullet"/>
      <w:lvlText w:val=""/>
      <w:lvlJc w:val="left"/>
      <w:rPr>
        <w:rFonts w:ascii="Symbol" w:hAnsi="Symbol" w:cs="Symbol" w:hint="default"/>
        <w:b/>
        <w:bCs/>
        <w:i w:val="0"/>
        <w:iCs w:val="0"/>
        <w:strike w:val="0"/>
        <w:color w:val="auto"/>
        <w:sz w:val="20"/>
        <w:szCs w:val="20"/>
        <w:u w:val="none"/>
      </w:rPr>
    </w:lvl>
    <w:lvl w:ilvl="8">
      <w:start w:val="1"/>
      <w:numFmt w:val="bullet"/>
      <w:lvlText w:val=""/>
      <w:lvlJc w:val="left"/>
      <w:rPr>
        <w:rFonts w:ascii="Symbol" w:hAnsi="Symbol" w:cs="Symbol" w:hint="default"/>
        <w:b/>
        <w:bCs/>
        <w:i w:val="0"/>
        <w:iCs w:val="0"/>
        <w:strike w:val="0"/>
        <w:color w:val="auto"/>
        <w:sz w:val="20"/>
        <w:szCs w:val="20"/>
        <w:u w:val="none"/>
      </w:rPr>
    </w:lvl>
  </w:abstractNum>
  <w:abstractNum w:abstractNumId="4" w15:restartNumberingAfterBreak="0">
    <w:nsid w:val="00000005"/>
    <w:multiLevelType w:val="multilevel"/>
    <w:tmpl w:val="00000005"/>
    <w:lvl w:ilvl="0">
      <w:start w:val="1"/>
      <w:numFmt w:val="lowerLetter"/>
      <w:lvlText w:val="%1)"/>
      <w:lvlJc w:val="left"/>
      <w:pPr>
        <w:ind w:left="1080" w:hanging="360"/>
      </w:pPr>
      <w:rPr>
        <w:rFonts w:ascii="Calibri" w:hAnsi="Calibri" w:cs="Calibri"/>
        <w:b w:val="0"/>
        <w:bCs w:val="0"/>
        <w:i w:val="0"/>
        <w:iCs w:val="0"/>
        <w:strike w:val="0"/>
        <w:color w:val="auto"/>
        <w:sz w:val="18"/>
        <w:szCs w:val="18"/>
        <w:u w:val="none"/>
      </w:rPr>
    </w:lvl>
    <w:lvl w:ilvl="1">
      <w:start w:val="1"/>
      <w:numFmt w:val="lowerLetter"/>
      <w:lvlText w:val="%2)"/>
      <w:lvlJc w:val="left"/>
      <w:pPr>
        <w:ind w:left="1440" w:hanging="360"/>
      </w:pPr>
      <w:rPr>
        <w:rFonts w:ascii="Calibri" w:hAnsi="Calibri" w:cs="Calibri"/>
        <w:b w:val="0"/>
        <w:bCs w:val="0"/>
        <w:i w:val="0"/>
        <w:iCs w:val="0"/>
        <w:strike w:val="0"/>
        <w:color w:val="auto"/>
        <w:sz w:val="18"/>
        <w:szCs w:val="18"/>
        <w:u w:val="none"/>
      </w:rPr>
    </w:lvl>
    <w:lvl w:ilvl="2">
      <w:start w:val="1"/>
      <w:numFmt w:val="lowerLetter"/>
      <w:lvlText w:val="%3)"/>
      <w:lvlJc w:val="left"/>
      <w:pPr>
        <w:ind w:left="1800" w:hanging="360"/>
      </w:pPr>
      <w:rPr>
        <w:rFonts w:ascii="Calibri" w:hAnsi="Calibri" w:cs="Calibri"/>
        <w:b w:val="0"/>
        <w:bCs w:val="0"/>
        <w:i w:val="0"/>
        <w:iCs w:val="0"/>
        <w:strike w:val="0"/>
        <w:color w:val="auto"/>
        <w:sz w:val="18"/>
        <w:szCs w:val="18"/>
        <w:u w:val="none"/>
      </w:rPr>
    </w:lvl>
    <w:lvl w:ilvl="3">
      <w:start w:val="1"/>
      <w:numFmt w:val="lowerLetter"/>
      <w:lvlText w:val="%4)"/>
      <w:lvlJc w:val="left"/>
      <w:pPr>
        <w:ind w:left="2160" w:hanging="360"/>
      </w:pPr>
      <w:rPr>
        <w:rFonts w:ascii="Calibri" w:hAnsi="Calibri" w:cs="Calibri"/>
        <w:b w:val="0"/>
        <w:bCs w:val="0"/>
        <w:i w:val="0"/>
        <w:iCs w:val="0"/>
        <w:strike w:val="0"/>
        <w:color w:val="auto"/>
        <w:sz w:val="18"/>
        <w:szCs w:val="18"/>
        <w:u w:val="none"/>
      </w:rPr>
    </w:lvl>
    <w:lvl w:ilvl="4">
      <w:start w:val="1"/>
      <w:numFmt w:val="lowerLetter"/>
      <w:lvlText w:val="%5)"/>
      <w:lvlJc w:val="left"/>
      <w:pPr>
        <w:ind w:left="2520" w:hanging="360"/>
      </w:pPr>
      <w:rPr>
        <w:rFonts w:ascii="Calibri" w:hAnsi="Calibri" w:cs="Calibri"/>
        <w:b w:val="0"/>
        <w:bCs w:val="0"/>
        <w:i w:val="0"/>
        <w:iCs w:val="0"/>
        <w:strike w:val="0"/>
        <w:color w:val="auto"/>
        <w:sz w:val="18"/>
        <w:szCs w:val="18"/>
        <w:u w:val="none"/>
      </w:rPr>
    </w:lvl>
    <w:lvl w:ilvl="5">
      <w:start w:val="1"/>
      <w:numFmt w:val="lowerLetter"/>
      <w:lvlText w:val="%6)"/>
      <w:lvlJc w:val="left"/>
      <w:pPr>
        <w:ind w:left="2880" w:hanging="360"/>
      </w:pPr>
      <w:rPr>
        <w:rFonts w:ascii="Calibri" w:hAnsi="Calibri" w:cs="Calibri"/>
        <w:b w:val="0"/>
        <w:bCs w:val="0"/>
        <w:i w:val="0"/>
        <w:iCs w:val="0"/>
        <w:strike w:val="0"/>
        <w:color w:val="auto"/>
        <w:sz w:val="18"/>
        <w:szCs w:val="18"/>
        <w:u w:val="none"/>
      </w:rPr>
    </w:lvl>
    <w:lvl w:ilvl="6">
      <w:start w:val="1"/>
      <w:numFmt w:val="lowerLetter"/>
      <w:lvlText w:val="%7)"/>
      <w:lvlJc w:val="left"/>
      <w:pPr>
        <w:ind w:left="3240" w:hanging="360"/>
      </w:pPr>
      <w:rPr>
        <w:rFonts w:ascii="Calibri" w:hAnsi="Calibri" w:cs="Calibri"/>
        <w:b w:val="0"/>
        <w:bCs w:val="0"/>
        <w:i w:val="0"/>
        <w:iCs w:val="0"/>
        <w:strike w:val="0"/>
        <w:color w:val="auto"/>
        <w:sz w:val="18"/>
        <w:szCs w:val="18"/>
        <w:u w:val="none"/>
      </w:rPr>
    </w:lvl>
    <w:lvl w:ilvl="7">
      <w:start w:val="1"/>
      <w:numFmt w:val="lowerLetter"/>
      <w:lvlText w:val="%8)"/>
      <w:lvlJc w:val="left"/>
      <w:pPr>
        <w:ind w:left="3600" w:hanging="360"/>
      </w:pPr>
      <w:rPr>
        <w:rFonts w:ascii="Calibri" w:hAnsi="Calibri" w:cs="Calibri"/>
        <w:b w:val="0"/>
        <w:bCs w:val="0"/>
        <w:i w:val="0"/>
        <w:iCs w:val="0"/>
        <w:strike w:val="0"/>
        <w:color w:val="auto"/>
        <w:sz w:val="18"/>
        <w:szCs w:val="18"/>
        <w:u w:val="none"/>
      </w:rPr>
    </w:lvl>
    <w:lvl w:ilvl="8">
      <w:start w:val="1"/>
      <w:numFmt w:val="lowerLetter"/>
      <w:lvlText w:val="%9)"/>
      <w:lvlJc w:val="left"/>
      <w:pPr>
        <w:ind w:left="3960" w:hanging="360"/>
      </w:pPr>
      <w:rPr>
        <w:rFonts w:ascii="Calibri" w:hAnsi="Calibri" w:cs="Calibri"/>
        <w:b w:val="0"/>
        <w:bCs w:val="0"/>
        <w:i w:val="0"/>
        <w:iCs w:val="0"/>
        <w:strike w:val="0"/>
        <w:color w:val="auto"/>
        <w:sz w:val="18"/>
        <w:szCs w:val="18"/>
        <w:u w:val="none"/>
      </w:rPr>
    </w:lvl>
  </w:abstractNum>
  <w:abstractNum w:abstractNumId="5" w15:restartNumberingAfterBreak="0">
    <w:nsid w:val="00000006"/>
    <w:multiLevelType w:val="multilevel"/>
    <w:tmpl w:val="00000006"/>
    <w:lvl w:ilvl="0">
      <w:start w:val="1"/>
      <w:numFmt w:val="decimal"/>
      <w:lvlText w:val="%1)"/>
      <w:lvlJc w:val="left"/>
      <w:pPr>
        <w:ind w:left="720" w:hanging="360"/>
      </w:pPr>
      <w:rPr>
        <w:rFonts w:ascii="Calibri" w:hAnsi="Calibri" w:cs="Calibri"/>
        <w:b/>
        <w:bCs/>
        <w:i w:val="0"/>
        <w:iCs w:val="0"/>
        <w:strike w:val="0"/>
        <w:color w:val="auto"/>
        <w:sz w:val="18"/>
        <w:szCs w:val="18"/>
        <w:u w:val="none"/>
      </w:rPr>
    </w:lvl>
    <w:lvl w:ilvl="1">
      <w:start w:val="1"/>
      <w:numFmt w:val="decimal"/>
      <w:lvlText w:val="%2)"/>
      <w:lvlJc w:val="left"/>
      <w:pPr>
        <w:ind w:left="1080" w:hanging="360"/>
      </w:pPr>
      <w:rPr>
        <w:rFonts w:ascii="Calibri" w:hAnsi="Calibri" w:cs="Calibri"/>
        <w:b/>
        <w:bCs/>
        <w:i w:val="0"/>
        <w:iCs w:val="0"/>
        <w:strike w:val="0"/>
        <w:color w:val="auto"/>
        <w:sz w:val="18"/>
        <w:szCs w:val="18"/>
        <w:u w:val="none"/>
      </w:rPr>
    </w:lvl>
    <w:lvl w:ilvl="2">
      <w:start w:val="1"/>
      <w:numFmt w:val="decimal"/>
      <w:lvlText w:val="%3)"/>
      <w:lvlJc w:val="left"/>
      <w:pPr>
        <w:ind w:left="1440" w:hanging="360"/>
      </w:pPr>
      <w:rPr>
        <w:rFonts w:ascii="Calibri" w:hAnsi="Calibri" w:cs="Calibri"/>
        <w:b/>
        <w:bCs/>
        <w:i w:val="0"/>
        <w:iCs w:val="0"/>
        <w:strike w:val="0"/>
        <w:color w:val="auto"/>
        <w:sz w:val="18"/>
        <w:szCs w:val="18"/>
        <w:u w:val="none"/>
      </w:rPr>
    </w:lvl>
    <w:lvl w:ilvl="3">
      <w:start w:val="1"/>
      <w:numFmt w:val="decimal"/>
      <w:lvlText w:val="%4)"/>
      <w:lvlJc w:val="left"/>
      <w:pPr>
        <w:ind w:left="1800" w:hanging="360"/>
      </w:pPr>
      <w:rPr>
        <w:rFonts w:ascii="Calibri" w:hAnsi="Calibri" w:cs="Calibri"/>
        <w:b/>
        <w:bCs/>
        <w:i w:val="0"/>
        <w:iCs w:val="0"/>
        <w:strike w:val="0"/>
        <w:color w:val="auto"/>
        <w:sz w:val="18"/>
        <w:szCs w:val="18"/>
        <w:u w:val="none"/>
      </w:rPr>
    </w:lvl>
    <w:lvl w:ilvl="4">
      <w:start w:val="1"/>
      <w:numFmt w:val="decimal"/>
      <w:lvlText w:val="%5)"/>
      <w:lvlJc w:val="left"/>
      <w:pPr>
        <w:ind w:left="2160" w:hanging="360"/>
      </w:pPr>
      <w:rPr>
        <w:rFonts w:ascii="Calibri" w:hAnsi="Calibri" w:cs="Calibri"/>
        <w:b/>
        <w:bCs/>
        <w:i w:val="0"/>
        <w:iCs w:val="0"/>
        <w:strike w:val="0"/>
        <w:color w:val="auto"/>
        <w:sz w:val="18"/>
        <w:szCs w:val="18"/>
        <w:u w:val="none"/>
      </w:rPr>
    </w:lvl>
    <w:lvl w:ilvl="5">
      <w:start w:val="1"/>
      <w:numFmt w:val="decimal"/>
      <w:lvlText w:val="%6)"/>
      <w:lvlJc w:val="left"/>
      <w:pPr>
        <w:ind w:left="2520" w:hanging="360"/>
      </w:pPr>
      <w:rPr>
        <w:rFonts w:ascii="Calibri" w:hAnsi="Calibri" w:cs="Calibri"/>
        <w:b/>
        <w:bCs/>
        <w:i w:val="0"/>
        <w:iCs w:val="0"/>
        <w:strike w:val="0"/>
        <w:color w:val="auto"/>
        <w:sz w:val="18"/>
        <w:szCs w:val="18"/>
        <w:u w:val="none"/>
      </w:rPr>
    </w:lvl>
    <w:lvl w:ilvl="6">
      <w:start w:val="1"/>
      <w:numFmt w:val="decimal"/>
      <w:lvlText w:val="%7)"/>
      <w:lvlJc w:val="left"/>
      <w:pPr>
        <w:ind w:left="2880" w:hanging="360"/>
      </w:pPr>
      <w:rPr>
        <w:rFonts w:ascii="Calibri" w:hAnsi="Calibri" w:cs="Calibri"/>
        <w:b/>
        <w:bCs/>
        <w:i w:val="0"/>
        <w:iCs w:val="0"/>
        <w:strike w:val="0"/>
        <w:color w:val="auto"/>
        <w:sz w:val="18"/>
        <w:szCs w:val="18"/>
        <w:u w:val="none"/>
      </w:rPr>
    </w:lvl>
    <w:lvl w:ilvl="7">
      <w:start w:val="1"/>
      <w:numFmt w:val="decimal"/>
      <w:lvlText w:val="%8)"/>
      <w:lvlJc w:val="left"/>
      <w:pPr>
        <w:ind w:left="3240" w:hanging="360"/>
      </w:pPr>
      <w:rPr>
        <w:rFonts w:ascii="Calibri" w:hAnsi="Calibri" w:cs="Calibri"/>
        <w:b/>
        <w:bCs/>
        <w:i w:val="0"/>
        <w:iCs w:val="0"/>
        <w:strike w:val="0"/>
        <w:color w:val="auto"/>
        <w:sz w:val="18"/>
        <w:szCs w:val="18"/>
        <w:u w:val="none"/>
      </w:rPr>
    </w:lvl>
    <w:lvl w:ilvl="8">
      <w:start w:val="1"/>
      <w:numFmt w:val="decimal"/>
      <w:lvlText w:val="%9)"/>
      <w:lvlJc w:val="left"/>
      <w:pPr>
        <w:ind w:left="3600" w:hanging="360"/>
      </w:pPr>
      <w:rPr>
        <w:rFonts w:ascii="Calibri" w:hAnsi="Calibri" w:cs="Calibri"/>
        <w:b/>
        <w:bCs/>
        <w:i w:val="0"/>
        <w:iCs w:val="0"/>
        <w:strike w:val="0"/>
        <w:color w:val="auto"/>
        <w:sz w:val="18"/>
        <w:szCs w:val="18"/>
        <w:u w:val="none"/>
      </w:rPr>
    </w:lvl>
  </w:abstractNum>
  <w:abstractNum w:abstractNumId="6" w15:restartNumberingAfterBreak="0">
    <w:nsid w:val="00000007"/>
    <w:multiLevelType w:val="multilevel"/>
    <w:tmpl w:val="00000007"/>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7" w15:restartNumberingAfterBreak="0">
    <w:nsid w:val="00000008"/>
    <w:multiLevelType w:val="multilevel"/>
    <w:tmpl w:val="00000008"/>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8" w15:restartNumberingAfterBreak="0">
    <w:nsid w:val="00000009"/>
    <w:multiLevelType w:val="multilevel"/>
    <w:tmpl w:val="00000009"/>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9" w15:restartNumberingAfterBreak="0">
    <w:nsid w:val="0000000A"/>
    <w:multiLevelType w:val="multilevel"/>
    <w:tmpl w:val="0000000A"/>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10" w15:restartNumberingAfterBreak="0">
    <w:nsid w:val="0000000B"/>
    <w:multiLevelType w:val="multilevel"/>
    <w:tmpl w:val="0000000B"/>
    <w:lvl w:ilvl="0">
      <w:start w:val="1"/>
      <w:numFmt w:val="decimal"/>
      <w:lvlText w:val="%1)"/>
      <w:lvlJc w:val="left"/>
      <w:pPr>
        <w:ind w:left="108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abstractNum>
  <w:num w:numId="1">
    <w:abstractNumId w:val="0"/>
  </w:num>
  <w:num w:numId="2">
    <w:abstractNumId w:val="0"/>
    <w:lvlOverride w:ilvl="0">
      <w:lvl w:ilvl="0">
        <w:start w:val="1"/>
        <w:numFmt w:val="decimal"/>
        <w:lvlText w:val="%1."/>
        <w:lvlJc w:val="left"/>
        <w:pPr>
          <w:ind w:left="1080" w:hanging="360"/>
        </w:pPr>
        <w:rPr>
          <w:rFonts w:ascii="Times New Roman" w:hAnsi="Times New Roman" w:cs="Times New Roman"/>
          <w:b w:val="0"/>
          <w:bCs w:val="0"/>
          <w:i w:val="0"/>
          <w:iCs w:val="0"/>
          <w:strike w:val="0"/>
          <w:color w:val="000000"/>
          <w:sz w:val="20"/>
          <w:szCs w:val="20"/>
          <w:u w:val="none"/>
        </w:rPr>
      </w:lvl>
    </w:lvlOverride>
    <w:lvlOverride w:ilvl="1">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3">
    <w:abstractNumId w:val="0"/>
    <w:lvlOverride w:ilvl="0">
      <w:lvl w:ilvl="0">
        <w:start w:val="1"/>
        <w:numFmt w:val="decimal"/>
        <w:lvlText w:val="%1."/>
        <w:lvlJc w:val="left"/>
        <w:pPr>
          <w:ind w:left="1080" w:hanging="360"/>
        </w:pPr>
        <w:rPr>
          <w:rFonts w:ascii="Times New Roman" w:hAnsi="Times New Roman" w:cs="Times New Roman"/>
          <w:b w:val="0"/>
          <w:bCs w:val="0"/>
          <w:i w:val="0"/>
          <w:iCs w:val="0"/>
          <w:strike w:val="0"/>
          <w:color w:val="auto"/>
          <w:sz w:val="20"/>
          <w:szCs w:val="20"/>
          <w:u w:val="none"/>
        </w:rPr>
      </w:lvl>
    </w:lvlOverride>
    <w:lvlOverride w:ilvl="1">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4">
    <w:abstractNumId w:val="1"/>
  </w:num>
  <w:num w:numId="5">
    <w:abstractNumId w:val="2"/>
  </w:num>
  <w:num w:numId="6">
    <w:abstractNumId w:val="3"/>
  </w:num>
  <w:num w:numId="7">
    <w:abstractNumId w:val="3"/>
    <w:lvlOverride w:ilvl="0">
      <w:lvl w:ilvl="0">
        <w:start w:val="1"/>
        <w:numFmt w:val="bullet"/>
        <w:lvlText w:val=""/>
        <w:lvlJc w:val="left"/>
        <w:pPr>
          <w:ind w:left="108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rPr>
          <w:rFonts w:ascii="Symbol" w:hAnsi="Symbol" w:cs="Symbol" w:hint="default"/>
          <w:b/>
          <w:bCs/>
          <w:i w:val="0"/>
          <w:iCs w:val="0"/>
          <w:strike w:val="0"/>
          <w:color w:val="auto"/>
          <w:sz w:val="20"/>
          <w:szCs w:val="20"/>
          <w:u w:val="none"/>
        </w:rPr>
      </w:lvl>
    </w:lvlOverride>
    <w:lvlOverride w:ilvl="2">
      <w:lvl w:ilvl="2">
        <w:start w:val="1"/>
        <w:numFmt w:val="bullet"/>
        <w:lvlText w:val=""/>
        <w:lvlJc w:val="left"/>
        <w:rPr>
          <w:rFonts w:ascii="Symbol" w:hAnsi="Symbol" w:cs="Symbol" w:hint="default"/>
          <w:b/>
          <w:bCs/>
          <w:i w:val="0"/>
          <w:iCs w:val="0"/>
          <w:strike w:val="0"/>
          <w:color w:val="auto"/>
          <w:sz w:val="20"/>
          <w:szCs w:val="20"/>
          <w:u w:val="none"/>
        </w:rPr>
      </w:lvl>
    </w:lvlOverride>
    <w:lvlOverride w:ilvl="3">
      <w:lvl w:ilvl="3">
        <w:start w:val="1"/>
        <w:numFmt w:val="bullet"/>
        <w:lvlText w:val=""/>
        <w:lvlJc w:val="left"/>
        <w:rPr>
          <w:rFonts w:ascii="Symbol" w:hAnsi="Symbol" w:cs="Symbol" w:hint="default"/>
          <w:b/>
          <w:bCs/>
          <w:i w:val="0"/>
          <w:iCs w:val="0"/>
          <w:strike w:val="0"/>
          <w:color w:val="auto"/>
          <w:sz w:val="20"/>
          <w:szCs w:val="20"/>
          <w:u w:val="none"/>
        </w:rPr>
      </w:lvl>
    </w:lvlOverride>
    <w:lvlOverride w:ilvl="4">
      <w:lvl w:ilvl="4">
        <w:start w:val="1"/>
        <w:numFmt w:val="bullet"/>
        <w:lvlText w:val=""/>
        <w:lvlJc w:val="left"/>
        <w:rPr>
          <w:rFonts w:ascii="Symbol" w:hAnsi="Symbol" w:cs="Symbol" w:hint="default"/>
          <w:b/>
          <w:bCs/>
          <w:i w:val="0"/>
          <w:iCs w:val="0"/>
          <w:strike w:val="0"/>
          <w:color w:val="auto"/>
          <w:sz w:val="20"/>
          <w:szCs w:val="20"/>
          <w:u w:val="none"/>
        </w:rPr>
      </w:lvl>
    </w:lvlOverride>
    <w:lvlOverride w:ilvl="5">
      <w:lvl w:ilvl="5">
        <w:start w:val="1"/>
        <w:numFmt w:val="bullet"/>
        <w:lvlText w:val=""/>
        <w:lvlJc w:val="left"/>
        <w:rPr>
          <w:rFonts w:ascii="Symbol" w:hAnsi="Symbol" w:cs="Symbol" w:hint="default"/>
          <w:b/>
          <w:bCs/>
          <w:i w:val="0"/>
          <w:iCs w:val="0"/>
          <w:strike w:val="0"/>
          <w:color w:val="auto"/>
          <w:sz w:val="20"/>
          <w:szCs w:val="20"/>
          <w:u w:val="none"/>
        </w:rPr>
      </w:lvl>
    </w:lvlOverride>
    <w:lvlOverride w:ilvl="6">
      <w:lvl w:ilvl="6">
        <w:start w:val="1"/>
        <w:numFmt w:val="bullet"/>
        <w:lvlText w:val=""/>
        <w:lvlJc w:val="left"/>
        <w:rPr>
          <w:rFonts w:ascii="Symbol" w:hAnsi="Symbol" w:cs="Symbol" w:hint="default"/>
          <w:b/>
          <w:bCs/>
          <w:i w:val="0"/>
          <w:iCs w:val="0"/>
          <w:strike w:val="0"/>
          <w:color w:val="auto"/>
          <w:sz w:val="20"/>
          <w:szCs w:val="20"/>
          <w:u w:val="none"/>
        </w:rPr>
      </w:lvl>
    </w:lvlOverride>
    <w:lvlOverride w:ilvl="7">
      <w:lvl w:ilvl="7">
        <w:start w:val="1"/>
        <w:numFmt w:val="bullet"/>
        <w:lvlText w:val=""/>
        <w:lvlJc w:val="left"/>
        <w:rPr>
          <w:rFonts w:ascii="Symbol" w:hAnsi="Symbol" w:cs="Symbol" w:hint="default"/>
          <w:b/>
          <w:bCs/>
          <w:i w:val="0"/>
          <w:iCs w:val="0"/>
          <w:strike w:val="0"/>
          <w:color w:val="auto"/>
          <w:sz w:val="20"/>
          <w:szCs w:val="20"/>
          <w:u w:val="none"/>
        </w:rPr>
      </w:lvl>
    </w:lvlOverride>
    <w:lvlOverride w:ilvl="8">
      <w:lvl w:ilvl="8">
        <w:start w:val="1"/>
        <w:numFmt w:val="bullet"/>
        <w:lvlText w:val=""/>
        <w:lvlJc w:val="left"/>
        <w:rPr>
          <w:rFonts w:ascii="Symbol" w:hAnsi="Symbol" w:cs="Symbol" w:hint="default"/>
          <w:b/>
          <w:bCs/>
          <w:i w:val="0"/>
          <w:iCs w:val="0"/>
          <w:strike w:val="0"/>
          <w:color w:val="auto"/>
          <w:sz w:val="20"/>
          <w:szCs w:val="20"/>
          <w:u w:val="none"/>
        </w:rPr>
      </w:lvl>
    </w:lvlOverride>
  </w:num>
  <w:num w:numId="8">
    <w:abstractNumId w:val="4"/>
  </w:num>
  <w:num w:numId="9">
    <w:abstractNumId w:val="5"/>
  </w:num>
  <w:num w:numId="10">
    <w:abstractNumId w:val="5"/>
    <w:lvlOverride w:ilvl="0">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Override>
    <w:lvlOverride w:ilvl="1">
      <w:lvl w:ilvl="1">
        <w:start w:val="1"/>
        <w:numFmt w:val="decimal"/>
        <w:lvlText w:val="%2)"/>
        <w:lvlJc w:val="left"/>
        <w:pPr>
          <w:ind w:left="1080" w:hanging="360"/>
        </w:pPr>
        <w:rPr>
          <w:rFonts w:ascii="Calibri" w:hAnsi="Calibri" w:cs="Calibri"/>
          <w:b/>
          <w:bCs/>
          <w:i w:val="0"/>
          <w:iCs w:val="0"/>
          <w:strike w:val="0"/>
          <w:color w:val="auto"/>
          <w:sz w:val="18"/>
          <w:szCs w:val="18"/>
          <w:u w:val="none"/>
        </w:rPr>
      </w:lvl>
    </w:lvlOverride>
    <w:lvlOverride w:ilvl="2">
      <w:lvl w:ilvl="2">
        <w:start w:val="1"/>
        <w:numFmt w:val="decimal"/>
        <w:lvlText w:val="%3)"/>
        <w:lvlJc w:val="left"/>
        <w:pPr>
          <w:ind w:left="1440" w:hanging="360"/>
        </w:pPr>
        <w:rPr>
          <w:rFonts w:ascii="Calibri" w:hAnsi="Calibri" w:cs="Calibri"/>
          <w:b/>
          <w:bCs/>
          <w:i w:val="0"/>
          <w:iCs w:val="0"/>
          <w:strike w:val="0"/>
          <w:color w:val="auto"/>
          <w:sz w:val="18"/>
          <w:szCs w:val="18"/>
          <w:u w:val="none"/>
        </w:rPr>
      </w:lvl>
    </w:lvlOverride>
    <w:lvlOverride w:ilvl="3">
      <w:lvl w:ilvl="3">
        <w:start w:val="1"/>
        <w:numFmt w:val="decimal"/>
        <w:lvlText w:val="%4)"/>
        <w:lvlJc w:val="left"/>
        <w:pPr>
          <w:ind w:left="1800" w:hanging="360"/>
        </w:pPr>
        <w:rPr>
          <w:rFonts w:ascii="Calibri" w:hAnsi="Calibri" w:cs="Calibri"/>
          <w:b/>
          <w:bCs/>
          <w:i w:val="0"/>
          <w:iCs w:val="0"/>
          <w:strike w:val="0"/>
          <w:color w:val="auto"/>
          <w:sz w:val="18"/>
          <w:szCs w:val="18"/>
          <w:u w:val="none"/>
        </w:rPr>
      </w:lvl>
    </w:lvlOverride>
    <w:lvlOverride w:ilvl="4">
      <w:lvl w:ilvl="4">
        <w:start w:val="1"/>
        <w:numFmt w:val="decimal"/>
        <w:lvlText w:val="%5)"/>
        <w:lvlJc w:val="left"/>
        <w:pPr>
          <w:ind w:left="2160" w:hanging="360"/>
        </w:pPr>
        <w:rPr>
          <w:rFonts w:ascii="Calibri" w:hAnsi="Calibri" w:cs="Calibri"/>
          <w:b/>
          <w:bCs/>
          <w:i w:val="0"/>
          <w:iCs w:val="0"/>
          <w:strike w:val="0"/>
          <w:color w:val="auto"/>
          <w:sz w:val="18"/>
          <w:szCs w:val="18"/>
          <w:u w:val="none"/>
        </w:rPr>
      </w:lvl>
    </w:lvlOverride>
    <w:lvlOverride w:ilvl="5">
      <w:lvl w:ilvl="5">
        <w:start w:val="1"/>
        <w:numFmt w:val="decimal"/>
        <w:lvlText w:val="%6)"/>
        <w:lvlJc w:val="left"/>
        <w:pPr>
          <w:ind w:left="2520" w:hanging="360"/>
        </w:pPr>
        <w:rPr>
          <w:rFonts w:ascii="Calibri" w:hAnsi="Calibri" w:cs="Calibri"/>
          <w:b/>
          <w:bCs/>
          <w:i w:val="0"/>
          <w:iCs w:val="0"/>
          <w:strike w:val="0"/>
          <w:color w:val="auto"/>
          <w:sz w:val="18"/>
          <w:szCs w:val="18"/>
          <w:u w:val="none"/>
        </w:rPr>
      </w:lvl>
    </w:lvlOverride>
    <w:lvlOverride w:ilvl="6">
      <w:lvl w:ilvl="6">
        <w:start w:val="1"/>
        <w:numFmt w:val="decimal"/>
        <w:lvlText w:val="%7)"/>
        <w:lvlJc w:val="left"/>
        <w:pPr>
          <w:ind w:left="2880" w:hanging="360"/>
        </w:pPr>
        <w:rPr>
          <w:rFonts w:ascii="Calibri" w:hAnsi="Calibri" w:cs="Calibri"/>
          <w:b/>
          <w:bCs/>
          <w:i w:val="0"/>
          <w:iCs w:val="0"/>
          <w:strike w:val="0"/>
          <w:color w:val="auto"/>
          <w:sz w:val="18"/>
          <w:szCs w:val="18"/>
          <w:u w:val="none"/>
        </w:rPr>
      </w:lvl>
    </w:lvlOverride>
    <w:lvlOverride w:ilvl="7">
      <w:lvl w:ilvl="7">
        <w:start w:val="1"/>
        <w:numFmt w:val="decimal"/>
        <w:lvlText w:val="%8)"/>
        <w:lvlJc w:val="left"/>
        <w:pPr>
          <w:ind w:left="3240" w:hanging="360"/>
        </w:pPr>
        <w:rPr>
          <w:rFonts w:ascii="Calibri" w:hAnsi="Calibri" w:cs="Calibri"/>
          <w:b/>
          <w:bCs/>
          <w:i w:val="0"/>
          <w:iCs w:val="0"/>
          <w:strike w:val="0"/>
          <w:color w:val="auto"/>
          <w:sz w:val="18"/>
          <w:szCs w:val="18"/>
          <w:u w:val="none"/>
        </w:rPr>
      </w:lvl>
    </w:lvlOverride>
    <w:lvlOverride w:ilvl="8">
      <w:lvl w:ilvl="8">
        <w:start w:val="1"/>
        <w:numFmt w:val="decimal"/>
        <w:lvlText w:val="%9)"/>
        <w:lvlJc w:val="left"/>
        <w:pPr>
          <w:ind w:left="3600" w:hanging="360"/>
        </w:pPr>
        <w:rPr>
          <w:rFonts w:ascii="Calibri" w:hAnsi="Calibri" w:cs="Calibri"/>
          <w:b/>
          <w:bCs/>
          <w:i w:val="0"/>
          <w:iCs w:val="0"/>
          <w:strike w:val="0"/>
          <w:color w:val="auto"/>
          <w:sz w:val="18"/>
          <w:szCs w:val="18"/>
          <w:u w:val="none"/>
        </w:rPr>
      </w:lvl>
    </w:lvlOverride>
  </w:num>
  <w:num w:numId="11">
    <w:abstractNumId w:val="6"/>
  </w:num>
  <w:num w:numId="12">
    <w:abstractNumId w:val="7"/>
  </w:num>
  <w:num w:numId="13">
    <w:abstractNumId w:val="8"/>
  </w:num>
  <w:num w:numId="14">
    <w:abstractNumId w:val="9"/>
  </w:num>
  <w:num w:numId="15">
    <w:abstractNumId w:val="10"/>
  </w:num>
  <w:num w:numId="16">
    <w:abstractNumId w:val="3"/>
    <w:lvlOverride w:ilvl="0">
      <w:lvl w:ilvl="0">
        <w:start w:val="1"/>
        <w:numFmt w:val="bullet"/>
        <w:lvlText w:val=""/>
        <w:lvlJc w:val="left"/>
        <w:pPr>
          <w:ind w:left="1080" w:hanging="360"/>
        </w:pPr>
        <w:rPr>
          <w:rFonts w:ascii="Symbol" w:hAnsi="Symbol" w:cs="Symbol" w:hint="default"/>
          <w:b/>
          <w:bCs/>
          <w:i w:val="0"/>
          <w:iCs w:val="0"/>
          <w:strike w:val="0"/>
          <w:color w:val="auto"/>
          <w:sz w:val="20"/>
          <w:szCs w:val="20"/>
          <w:u w:val="single"/>
        </w:rPr>
      </w:lvl>
    </w:lvlOverride>
    <w:lvlOverride w:ilvl="1">
      <w:lvl w:ilvl="1">
        <w:start w:val="1"/>
        <w:numFmt w:val="bullet"/>
        <w:lvlText w:val=""/>
        <w:lvlJc w:val="left"/>
        <w:rPr>
          <w:rFonts w:ascii="Symbol" w:hAnsi="Symbol" w:cs="Symbol" w:hint="default"/>
          <w:b/>
          <w:bCs/>
          <w:i w:val="0"/>
          <w:iCs w:val="0"/>
          <w:strike w:val="0"/>
          <w:color w:val="auto"/>
          <w:sz w:val="20"/>
          <w:szCs w:val="20"/>
          <w:u w:val="none"/>
        </w:rPr>
      </w:lvl>
    </w:lvlOverride>
    <w:lvlOverride w:ilvl="2">
      <w:lvl w:ilvl="2">
        <w:start w:val="1"/>
        <w:numFmt w:val="bullet"/>
        <w:lvlText w:val=""/>
        <w:lvlJc w:val="left"/>
        <w:rPr>
          <w:rFonts w:ascii="Symbol" w:hAnsi="Symbol" w:cs="Symbol" w:hint="default"/>
          <w:b/>
          <w:bCs/>
          <w:i w:val="0"/>
          <w:iCs w:val="0"/>
          <w:strike w:val="0"/>
          <w:color w:val="auto"/>
          <w:sz w:val="20"/>
          <w:szCs w:val="20"/>
          <w:u w:val="none"/>
        </w:rPr>
      </w:lvl>
    </w:lvlOverride>
    <w:lvlOverride w:ilvl="3">
      <w:lvl w:ilvl="3">
        <w:start w:val="1"/>
        <w:numFmt w:val="bullet"/>
        <w:lvlText w:val=""/>
        <w:lvlJc w:val="left"/>
        <w:rPr>
          <w:rFonts w:ascii="Symbol" w:hAnsi="Symbol" w:cs="Symbol" w:hint="default"/>
          <w:b/>
          <w:bCs/>
          <w:i w:val="0"/>
          <w:iCs w:val="0"/>
          <w:strike w:val="0"/>
          <w:color w:val="auto"/>
          <w:sz w:val="20"/>
          <w:szCs w:val="20"/>
          <w:u w:val="none"/>
        </w:rPr>
      </w:lvl>
    </w:lvlOverride>
    <w:lvlOverride w:ilvl="4">
      <w:lvl w:ilvl="4">
        <w:start w:val="1"/>
        <w:numFmt w:val="bullet"/>
        <w:lvlText w:val=""/>
        <w:lvlJc w:val="left"/>
        <w:rPr>
          <w:rFonts w:ascii="Symbol" w:hAnsi="Symbol" w:cs="Symbol" w:hint="default"/>
          <w:b/>
          <w:bCs/>
          <w:i w:val="0"/>
          <w:iCs w:val="0"/>
          <w:strike w:val="0"/>
          <w:color w:val="auto"/>
          <w:sz w:val="20"/>
          <w:szCs w:val="20"/>
          <w:u w:val="none"/>
        </w:rPr>
      </w:lvl>
    </w:lvlOverride>
    <w:lvlOverride w:ilvl="5">
      <w:lvl w:ilvl="5">
        <w:start w:val="1"/>
        <w:numFmt w:val="bullet"/>
        <w:lvlText w:val=""/>
        <w:lvlJc w:val="left"/>
        <w:rPr>
          <w:rFonts w:ascii="Symbol" w:hAnsi="Symbol" w:cs="Symbol" w:hint="default"/>
          <w:b/>
          <w:bCs/>
          <w:i w:val="0"/>
          <w:iCs w:val="0"/>
          <w:strike w:val="0"/>
          <w:color w:val="auto"/>
          <w:sz w:val="20"/>
          <w:szCs w:val="20"/>
          <w:u w:val="none"/>
        </w:rPr>
      </w:lvl>
    </w:lvlOverride>
    <w:lvlOverride w:ilvl="6">
      <w:lvl w:ilvl="6">
        <w:start w:val="1"/>
        <w:numFmt w:val="bullet"/>
        <w:lvlText w:val=""/>
        <w:lvlJc w:val="left"/>
        <w:rPr>
          <w:rFonts w:ascii="Symbol" w:hAnsi="Symbol" w:cs="Symbol" w:hint="default"/>
          <w:b/>
          <w:bCs/>
          <w:i w:val="0"/>
          <w:iCs w:val="0"/>
          <w:strike w:val="0"/>
          <w:color w:val="auto"/>
          <w:sz w:val="20"/>
          <w:szCs w:val="20"/>
          <w:u w:val="none"/>
        </w:rPr>
      </w:lvl>
    </w:lvlOverride>
    <w:lvlOverride w:ilvl="7">
      <w:lvl w:ilvl="7">
        <w:start w:val="1"/>
        <w:numFmt w:val="bullet"/>
        <w:lvlText w:val=""/>
        <w:lvlJc w:val="left"/>
        <w:rPr>
          <w:rFonts w:ascii="Symbol" w:hAnsi="Symbol" w:cs="Symbol" w:hint="default"/>
          <w:b/>
          <w:bCs/>
          <w:i w:val="0"/>
          <w:iCs w:val="0"/>
          <w:strike w:val="0"/>
          <w:color w:val="auto"/>
          <w:sz w:val="20"/>
          <w:szCs w:val="20"/>
          <w:u w:val="none"/>
        </w:rPr>
      </w:lvl>
    </w:lvlOverride>
    <w:lvlOverride w:ilvl="8">
      <w:lvl w:ilvl="8">
        <w:start w:val="1"/>
        <w:numFmt w:val="bullet"/>
        <w:lvlText w:val=""/>
        <w:lvlJc w:val="left"/>
        <w:rPr>
          <w:rFonts w:ascii="Symbol" w:hAnsi="Symbol" w:cs="Symbol" w:hint="default"/>
          <w:b/>
          <w:bCs/>
          <w:i w:val="0"/>
          <w:iCs w:val="0"/>
          <w:strike w:val="0"/>
          <w:color w:val="auto"/>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98"/>
    <w:rsid w:val="00825198"/>
    <w:rsid w:val="009E52E8"/>
    <w:rsid w:val="00E6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39FB6-C743-46C3-8CF5-C066591F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825198"/>
    <w:pPr>
      <w:widowControl w:val="0"/>
      <w:autoSpaceDE w:val="0"/>
      <w:autoSpaceDN w:val="0"/>
      <w:adjustRightInd w:val="0"/>
      <w:ind w:left="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3718</Words>
  <Characters>22309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Ula</cp:lastModifiedBy>
  <cp:revision>1</cp:revision>
  <dcterms:created xsi:type="dcterms:W3CDTF">2024-10-07T07:15:00Z</dcterms:created>
  <dcterms:modified xsi:type="dcterms:W3CDTF">2024-10-07T07:15:00Z</dcterms:modified>
</cp:coreProperties>
</file>