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CE0239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6C764F">
        <w:rPr>
          <w:rStyle w:val="Pogrubienie"/>
        </w:rPr>
        <w:t>478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4F768F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6C764F">
        <w:rPr>
          <w:rStyle w:val="Pogrubienie"/>
        </w:rPr>
        <w:t xml:space="preserve">17 </w:t>
      </w:r>
      <w:r w:rsidR="004F768F">
        <w:rPr>
          <w:rStyle w:val="Pogrubienie"/>
        </w:rPr>
        <w:t>października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4F768F">
        <w:rPr>
          <w:rStyle w:val="Pogrubienie"/>
        </w:rPr>
        <w:t>4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3CFAA6D5" w:rsidR="000A3058" w:rsidRPr="005F698F" w:rsidRDefault="000A3058" w:rsidP="008E5460">
      <w:pPr>
        <w:pStyle w:val="Nagwek2"/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4F768F" w:rsidRPr="004F768F">
        <w:t>Dz. U. z 2024 r. poz. 1465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4F768F" w:rsidRPr="004F768F">
        <w:t>Dz. U. z 2024 r. poz. 1145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5F698F">
        <w:t>.,</w:t>
      </w:r>
      <w:r w:rsidR="005F698F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39F86EC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4F768F">
        <w:t>i</w:t>
      </w:r>
      <w:r>
        <w:t xml:space="preserve"> oznaczon</w:t>
      </w:r>
      <w:r w:rsidR="004F768F">
        <w:t xml:space="preserve">ej </w:t>
      </w:r>
      <w:r>
        <w:t>numer</w:t>
      </w:r>
      <w:r w:rsidR="004F768F">
        <w:t>e</w:t>
      </w:r>
      <w:r>
        <w:t>m ewidencyjnym</w:t>
      </w:r>
      <w:r w:rsidR="002B6ABE">
        <w:t xml:space="preserve"> </w:t>
      </w:r>
      <w:r w:rsidR="004F768F">
        <w:t>295/</w:t>
      </w:r>
      <w:r w:rsidR="00D258CF">
        <w:t>2</w:t>
      </w:r>
      <w:r w:rsidR="004F768F">
        <w:t xml:space="preserve"> </w:t>
      </w:r>
      <w:r>
        <w:t xml:space="preserve">o </w:t>
      </w:r>
      <w:r w:rsidR="004F768F">
        <w:t>ogólnej</w:t>
      </w:r>
      <w:r>
        <w:t xml:space="preserve"> powierzchni</w:t>
      </w:r>
      <w:r w:rsidR="007D2258">
        <w:t xml:space="preserve"> </w:t>
      </w:r>
      <w:r w:rsidR="004F768F">
        <w:t>0,4</w:t>
      </w:r>
      <w:r w:rsidR="00D258CF">
        <w:t>8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4F4C96">
        <w:t>0</w:t>
      </w:r>
      <w:r w:rsidR="004F768F">
        <w:t>4</w:t>
      </w:r>
      <w:r w:rsidR="004F4C96">
        <w:t xml:space="preserve"> </w:t>
      </w:r>
      <w:r w:rsidR="004F768F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8CBFA29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>Ogłoszenie o przetargu wraz z załącznikiem graficznym wywiesza się na tablicy ogłoszeń w Urzędzie Gminy Nowa Ruda, ul. Niepodległości 2, na tablicy ogłoszeń Sołectwa</w:t>
      </w:r>
      <w:r w:rsidR="004F768F">
        <w:rPr>
          <w:rFonts w:ascii="Calibri" w:eastAsia="Calibri" w:hAnsi="Calibri" w:cs="Calibri"/>
        </w:rPr>
        <w:t xml:space="preserve"> Czerwieńczyce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5012EC99" w:rsidR="00CF4807" w:rsidRPr="006C764F" w:rsidRDefault="00FF1FCC" w:rsidP="00CF4807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78357708"/>
      <w:bookmarkStart w:id="1" w:name="_Hlk61263254"/>
      <w:r w:rsidRPr="006C764F">
        <w:rPr>
          <w:rFonts w:cs="Calibri"/>
        </w:rPr>
        <w:tab/>
        <w:t>/</w:t>
      </w:r>
      <w:r w:rsidR="006C764F" w:rsidRPr="00155354">
        <w:rPr>
          <w:rFonts w:cs="Calibri"/>
        </w:rPr>
        <w:t>Z up. Wójta Anna Zawiślak -  Zastępca Wójta</w:t>
      </w:r>
      <w:r w:rsidRPr="006C764F">
        <w:rPr>
          <w:rFonts w:cs="Calibri"/>
        </w:rPr>
        <w:t>/</w:t>
      </w:r>
    </w:p>
    <w:bookmarkEnd w:id="0"/>
    <w:p w14:paraId="37B65733" w14:textId="55F7840E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6C764F">
        <w:rPr>
          <w:sz w:val="26"/>
          <w:szCs w:val="26"/>
        </w:rPr>
        <w:t>478/</w:t>
      </w:r>
      <w:r w:rsidRPr="003F3840">
        <w:rPr>
          <w:sz w:val="26"/>
          <w:szCs w:val="26"/>
        </w:rPr>
        <w:t>2</w:t>
      </w:r>
      <w:r w:rsidR="004F768F">
        <w:rPr>
          <w:sz w:val="26"/>
          <w:szCs w:val="26"/>
        </w:rPr>
        <w:t>4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6C764F">
        <w:rPr>
          <w:sz w:val="26"/>
          <w:szCs w:val="26"/>
        </w:rPr>
        <w:t>17</w:t>
      </w:r>
      <w:r w:rsidR="002B6ABE">
        <w:rPr>
          <w:sz w:val="26"/>
          <w:szCs w:val="26"/>
        </w:rPr>
        <w:t xml:space="preserve"> </w:t>
      </w:r>
      <w:r w:rsidR="004F768F">
        <w:rPr>
          <w:sz w:val="26"/>
          <w:szCs w:val="26"/>
        </w:rPr>
        <w:t>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4F768F">
        <w:rPr>
          <w:sz w:val="26"/>
          <w:szCs w:val="26"/>
        </w:rPr>
        <w:t>4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754B667E" w14:textId="77777777" w:rsidR="003033D4" w:rsidRPr="000477B6" w:rsidRDefault="004F768F" w:rsidP="003033D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033D4">
        <w:rPr>
          <w:rFonts w:ascii="Calibri" w:hAnsi="Calibri" w:cs="Calibri"/>
        </w:rPr>
        <w:t>Czerwieńczyce</w:t>
      </w:r>
    </w:p>
    <w:p w14:paraId="68A7F8D1" w14:textId="77777777" w:rsidR="003033D4" w:rsidRDefault="003033D4" w:rsidP="003033D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295/2</w:t>
      </w:r>
    </w:p>
    <w:p w14:paraId="3F548014" w14:textId="0F014C4F" w:rsidR="004F768F" w:rsidRPr="00C302C6" w:rsidRDefault="004F768F" w:rsidP="003033D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496D27">
        <w:rPr>
          <w:rFonts w:ascii="Calibri" w:hAnsi="Calibri" w:cs="Calibri"/>
        </w:rPr>
        <w:t xml:space="preserve">: </w:t>
      </w:r>
      <w:r w:rsidRPr="00C302C6">
        <w:rPr>
          <w:rFonts w:ascii="Calibri" w:hAnsi="Calibri" w:cs="Calibri"/>
        </w:rPr>
        <w:t>SW2K/00027</w:t>
      </w:r>
      <w:r>
        <w:rPr>
          <w:rFonts w:ascii="Calibri" w:hAnsi="Calibri" w:cs="Calibri"/>
        </w:rPr>
        <w:t>192/3 bez obciążeń</w:t>
      </w:r>
    </w:p>
    <w:p w14:paraId="6E887DA1" w14:textId="77777777" w:rsidR="003033D4" w:rsidRPr="000477B6" w:rsidRDefault="004F768F" w:rsidP="003033D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033D4">
        <w:rPr>
          <w:rFonts w:ascii="Calibri" w:hAnsi="Calibri" w:cs="Calibri"/>
        </w:rPr>
        <w:t>0,48 ha</w:t>
      </w:r>
    </w:p>
    <w:p w14:paraId="054887BF" w14:textId="77777777" w:rsidR="003033D4" w:rsidRPr="00C302C6" w:rsidRDefault="003033D4" w:rsidP="003033D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2" w:name="_Hlk532814726"/>
      <w:r w:rsidRPr="00A5272E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295/2, </w:t>
      </w:r>
      <w:r w:rsidRPr="00C302C6">
        <w:rPr>
          <w:rFonts w:ascii="Calibri" w:hAnsi="Calibri" w:cs="Calibri"/>
        </w:rPr>
        <w:t>obręb 000</w:t>
      </w:r>
      <w:r>
        <w:rPr>
          <w:rFonts w:ascii="Calibri" w:hAnsi="Calibri" w:cs="Calibri"/>
        </w:rPr>
        <w:t>4</w:t>
      </w:r>
      <w:r w:rsidRPr="00C302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Czerwieńczyce, o ogólnej pow. 0,48 ha sklasyfikowana jako RIIIa-0,38 ha, PsIII-0,10 ha,</w:t>
      </w:r>
      <w:r w:rsidRPr="00C302C6">
        <w:rPr>
          <w:rFonts w:ascii="Calibri" w:hAnsi="Calibri" w:cs="Calibri"/>
        </w:rPr>
        <w:t xml:space="preserve"> przeznaczona do wydzierżawienia na cele związane z gospodarką rolną. </w:t>
      </w:r>
      <w:bookmarkEnd w:id="2"/>
      <w:r>
        <w:rPr>
          <w:rFonts w:ascii="Calibri" w:hAnsi="Calibri" w:cs="Calibri"/>
        </w:rPr>
        <w:t>Działka nie ma prawnego dostępu do drogi publicznej.</w:t>
      </w:r>
    </w:p>
    <w:p w14:paraId="4A8C6069" w14:textId="77777777" w:rsidR="003033D4" w:rsidRDefault="003033D4" w:rsidP="003033D4">
      <w:pPr>
        <w:pStyle w:val="Akapitzlist"/>
        <w:rPr>
          <w:rFonts w:ascii="Calibri" w:hAnsi="Calibri" w:cs="Calibri"/>
        </w:rPr>
      </w:pPr>
      <w:r w:rsidRPr="005109C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295/2</w:t>
      </w:r>
      <w:r w:rsidRPr="005109C5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5109C5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 u</w:t>
      </w:r>
      <w:r w:rsidRPr="005109C5">
        <w:rPr>
          <w:rFonts w:ascii="Calibri" w:hAnsi="Calibri" w:cs="Calibri"/>
        </w:rPr>
        <w:t>jęt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miejscowym planie zagospodarowania przestrzennego Gminy Nowa Ruda.</w:t>
      </w:r>
    </w:p>
    <w:p w14:paraId="065B7490" w14:textId="77777777" w:rsidR="003033D4" w:rsidRPr="000477B6" w:rsidRDefault="003033D4" w:rsidP="003033D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01.12.2024 r.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9</w:t>
      </w:r>
      <w:r w:rsidRPr="000477B6">
        <w:rPr>
          <w:rFonts w:ascii="Calibri" w:hAnsi="Calibri" w:cs="Calibri"/>
        </w:rPr>
        <w:t xml:space="preserve"> r.</w:t>
      </w:r>
    </w:p>
    <w:p w14:paraId="7D9378AC" w14:textId="77777777" w:rsidR="003033D4" w:rsidRPr="000477B6" w:rsidRDefault="003033D4" w:rsidP="003033D4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1D895FD0" w14:textId="77777777" w:rsidR="003033D4" w:rsidRPr="00CA15EB" w:rsidRDefault="003033D4" w:rsidP="003033D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225,60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> </w:t>
      </w:r>
      <w:r w:rsidRPr="00CA15EB">
        <w:rPr>
          <w:rFonts w:ascii="Calibri" w:hAnsi="Calibri" w:cs="Calibri"/>
        </w:rPr>
        <w:t>podatku VAT na podstawie § 3 ust. 1 pkt 2 Rozporządzenia Ministra Finansów z</w:t>
      </w:r>
      <w:r>
        <w:rPr>
          <w:rFonts w:ascii="Calibri" w:hAnsi="Calibri" w:cs="Calibri"/>
        </w:rPr>
        <w:t> </w:t>
      </w:r>
      <w:r w:rsidRPr="00CA15EB">
        <w:rPr>
          <w:rFonts w:ascii="Calibri" w:hAnsi="Calibri" w:cs="Calibri"/>
        </w:rPr>
        <w:t>dnia 20 grudnia 2013 r. w sprawie zwolnień od podatku od towarów i usług oraz warunków stosowania tych zwolnień</w:t>
      </w:r>
      <w:r>
        <w:rPr>
          <w:rFonts w:ascii="Calibri" w:hAnsi="Calibri" w:cs="Calibri"/>
        </w:rPr>
        <w:t xml:space="preserve"> (</w:t>
      </w:r>
      <w:r w:rsidRPr="00915E07">
        <w:rPr>
          <w:rFonts w:ascii="Calibri" w:hAnsi="Calibri" w:cs="Calibri"/>
        </w:rPr>
        <w:t>Dz. U. z 2023 r. poz. 955 z późn. zm.</w:t>
      </w:r>
      <w:r w:rsidRPr="00CA15EB">
        <w:rPr>
          <w:rFonts w:ascii="Calibri" w:hAnsi="Calibri" w:cs="Calibr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18BE653E" w14:textId="263A60DA" w:rsidR="004F768F" w:rsidRPr="003033D4" w:rsidRDefault="003033D4" w:rsidP="003033D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79F93907" w14:textId="77777777" w:rsidR="003033D4" w:rsidRDefault="004F768F" w:rsidP="003033D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</w:t>
      </w:r>
      <w:r w:rsidR="003033D4" w:rsidRPr="00146DBF">
        <w:rPr>
          <w:rFonts w:ascii="Calibri" w:hAnsi="Calibri" w:cs="Calibri"/>
        </w:rPr>
        <w:t>czynsz dzierżawny ustalony w drodze przetargu płatny jest w dwóch ratach w terminach:</w:t>
      </w:r>
      <w:r w:rsidR="003033D4" w:rsidRPr="00146DBF">
        <w:rPr>
          <w:rFonts w:ascii="Calibri" w:hAnsi="Calibri" w:cs="Calibri"/>
        </w:rPr>
        <w:br/>
        <w:t>I rata – w terminie do 31 marca,</w:t>
      </w:r>
      <w:r w:rsidR="003033D4" w:rsidRPr="00146DBF">
        <w:rPr>
          <w:rFonts w:ascii="Calibri" w:hAnsi="Calibri" w:cs="Calibri"/>
        </w:rPr>
        <w:br/>
        <w:t>II rata – w terminie do 30 września,</w:t>
      </w:r>
      <w:r w:rsidR="003033D4" w:rsidRPr="00146DBF">
        <w:rPr>
          <w:rFonts w:ascii="Calibri" w:hAnsi="Calibri" w:cs="Calibri"/>
        </w:rPr>
        <w:br/>
        <w:t>każdego roku.</w:t>
      </w:r>
    </w:p>
    <w:p w14:paraId="690DAB90" w14:textId="77777777" w:rsidR="003033D4" w:rsidRPr="00A56F96" w:rsidRDefault="003033D4" w:rsidP="003033D4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55684A6" w14:textId="4C7BB46A" w:rsidR="004F768F" w:rsidRPr="009C5545" w:rsidRDefault="003033D4" w:rsidP="003033D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t xml:space="preserve"> </w:t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5</w:t>
      </w:r>
      <w:r w:rsidRPr="009C5545">
        <w:rPr>
          <w:rFonts w:ascii="Calibri" w:hAnsi="Calibri" w:cs="Calibri"/>
          <w:iCs/>
        </w:rPr>
        <w:t xml:space="preserve"> roku</w:t>
      </w:r>
      <w:r w:rsidR="004F768F" w:rsidRPr="009C5545">
        <w:rPr>
          <w:rFonts w:ascii="Calibri" w:hAnsi="Calibri" w:cs="Calibri"/>
          <w:iCs/>
        </w:rPr>
        <w:t>.</w:t>
      </w:r>
    </w:p>
    <w:p w14:paraId="344B64C3" w14:textId="0EF88830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A7766A">
        <w:rPr>
          <w:rFonts w:ascii="Calibri" w:hAnsi="Calibri" w:cs="Calibri"/>
        </w:rPr>
        <w:t xml:space="preserve">nieruchomość w granicach </w:t>
      </w:r>
      <w:r w:rsidR="003801B2" w:rsidRPr="003801B2">
        <w:rPr>
          <w:rFonts w:ascii="Calibri" w:hAnsi="Calibri" w:cs="Calibri"/>
        </w:rPr>
        <w:t>działk</w:t>
      </w:r>
      <w:r w:rsidR="004F768F">
        <w:rPr>
          <w:rFonts w:ascii="Calibri" w:hAnsi="Calibri" w:cs="Calibri"/>
        </w:rPr>
        <w:t>i</w:t>
      </w:r>
      <w:r w:rsidR="003801B2" w:rsidRPr="003801B2">
        <w:rPr>
          <w:rFonts w:ascii="Calibri" w:hAnsi="Calibri" w:cs="Calibri"/>
        </w:rPr>
        <w:t xml:space="preserve"> nr</w:t>
      </w:r>
      <w:r w:rsidR="008B72C1">
        <w:rPr>
          <w:rFonts w:ascii="Calibri" w:hAnsi="Calibri" w:cs="Calibri"/>
        </w:rPr>
        <w:t xml:space="preserve"> </w:t>
      </w:r>
      <w:r w:rsidR="004F768F">
        <w:rPr>
          <w:rFonts w:ascii="Calibri" w:hAnsi="Calibri" w:cs="Calibri"/>
        </w:rPr>
        <w:t>295/</w:t>
      </w:r>
      <w:r w:rsidR="003033D4">
        <w:rPr>
          <w:rFonts w:ascii="Calibri" w:hAnsi="Calibri" w:cs="Calibri"/>
        </w:rPr>
        <w:t>2</w:t>
      </w:r>
      <w:r w:rsidR="004F768F">
        <w:rPr>
          <w:rFonts w:ascii="Calibri" w:hAnsi="Calibri" w:cs="Calibri"/>
        </w:rPr>
        <w:t xml:space="preserve"> </w:t>
      </w:r>
      <w:r w:rsidR="003801B2" w:rsidRPr="003801B2">
        <w:rPr>
          <w:rFonts w:ascii="Calibri" w:hAnsi="Calibri" w:cs="Calibri"/>
        </w:rPr>
        <w:t xml:space="preserve">objęta jest umową dzierżawy zawartą na okres od dnia </w:t>
      </w:r>
      <w:r w:rsidR="00521835">
        <w:rPr>
          <w:rFonts w:ascii="Calibri" w:hAnsi="Calibri" w:cs="Calibri"/>
        </w:rPr>
        <w:t>06.05.2019</w:t>
      </w:r>
      <w:r w:rsidR="003801B2" w:rsidRPr="003801B2">
        <w:rPr>
          <w:rFonts w:ascii="Calibri" w:hAnsi="Calibri" w:cs="Calibri"/>
        </w:rPr>
        <w:t xml:space="preserve"> r. do dnia 30.11.202</w:t>
      </w:r>
      <w:r w:rsidR="00521835">
        <w:rPr>
          <w:rFonts w:ascii="Calibri" w:hAnsi="Calibri" w:cs="Calibri"/>
        </w:rPr>
        <w:t>4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606204AF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3033D4">
        <w:rPr>
          <w:rFonts w:ascii="Calibri" w:hAnsi="Calibri" w:cs="Calibri"/>
        </w:rPr>
        <w:t xml:space="preserve">225,60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67363119" w14:textId="455F2706" w:rsidR="007D2258" w:rsidRDefault="003801B2" w:rsidP="00B615C0">
      <w:pPr>
        <w:spacing w:before="24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643BE649" w14:textId="77777777" w:rsidR="00521835" w:rsidRPr="00365ECB" w:rsidRDefault="00521835" w:rsidP="00521835">
      <w:pPr>
        <w:spacing w:before="120"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Dzierżawca zobowiązany będzie do złożenia oświadczenia w protokole z przetargu, że:</w:t>
      </w:r>
    </w:p>
    <w:p w14:paraId="68FE59DB" w14:textId="77777777" w:rsidR="00521835" w:rsidRPr="00365ECB" w:rsidRDefault="00521835" w:rsidP="00521835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 xml:space="preserve">wiadomy jest mu fakt, że wyraża zgodę na wydzierżawienie nieruchomości, która nie posiada </w:t>
      </w:r>
      <w:r>
        <w:rPr>
          <w:rFonts w:ascii="Calibri" w:hAnsi="Calibri" w:cs="Calibri"/>
          <w:b/>
        </w:rPr>
        <w:t>prawnego</w:t>
      </w:r>
      <w:r w:rsidRPr="00365ECB">
        <w:rPr>
          <w:rFonts w:ascii="Calibri" w:hAnsi="Calibri" w:cs="Calibri"/>
          <w:b/>
        </w:rPr>
        <w:t xml:space="preserve"> dostępu do drogi publicznej,</w:t>
      </w:r>
    </w:p>
    <w:p w14:paraId="00CA1083" w14:textId="77777777" w:rsidR="00521835" w:rsidRPr="00365ECB" w:rsidRDefault="00521835" w:rsidP="00521835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zapoznał się z przedmiotem przetargu i przyjmuje go bez zastrzeżeń,</w:t>
      </w:r>
    </w:p>
    <w:p w14:paraId="62E81EEB" w14:textId="77777777" w:rsidR="00521835" w:rsidRPr="00365ECB" w:rsidRDefault="00521835" w:rsidP="00521835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wnosi jakichkolwiek zastrzeżeń, w szczególności do stanu zagospodarowania,</w:t>
      </w:r>
    </w:p>
    <w:p w14:paraId="7DF71973" w14:textId="77777777" w:rsidR="00521835" w:rsidRPr="00365ECB" w:rsidRDefault="00521835" w:rsidP="00521835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będzie występował z żadnymi roszczeniami wobec Gminy Nowa Ruda z tego tytułu.</w:t>
      </w:r>
    </w:p>
    <w:p w14:paraId="0B9854A8" w14:textId="77777777" w:rsidR="00521835" w:rsidRPr="00573A31" w:rsidRDefault="00521835" w:rsidP="00521835">
      <w:pPr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lastRenderedPageBreak/>
        <w:t>Ww. oświadczenie dzierżawcy złożone zostanie również w umowie dzierżawy.</w:t>
      </w:r>
    </w:p>
    <w:p w14:paraId="11ED51AE" w14:textId="2CDB1468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521835">
        <w:rPr>
          <w:rFonts w:ascii="Calibri" w:hAnsi="Calibri" w:cs="Calibri"/>
          <w:b/>
          <w:bCs/>
          <w:iCs/>
        </w:rPr>
        <w:t>08</w:t>
      </w:r>
      <w:r w:rsidR="002701D6" w:rsidRPr="006E427D">
        <w:rPr>
          <w:rFonts w:ascii="Calibri" w:hAnsi="Calibri" w:cs="Calibri"/>
          <w:b/>
          <w:bCs/>
          <w:iCs/>
        </w:rPr>
        <w:t xml:space="preserve"> </w:t>
      </w:r>
      <w:r w:rsidR="00521835">
        <w:rPr>
          <w:rFonts w:ascii="Calibri" w:hAnsi="Calibri" w:cs="Calibri"/>
          <w:b/>
          <w:bCs/>
          <w:iCs/>
        </w:rPr>
        <w:t xml:space="preserve">listopada </w:t>
      </w:r>
      <w:r w:rsidRPr="0012749B">
        <w:rPr>
          <w:rFonts w:ascii="Calibri" w:hAnsi="Calibri" w:cs="Calibri"/>
          <w:b/>
          <w:bCs/>
          <w:iCs/>
        </w:rPr>
        <w:t>202</w:t>
      </w:r>
      <w:r w:rsidR="00521835">
        <w:rPr>
          <w:rFonts w:ascii="Calibri" w:hAnsi="Calibri" w:cs="Calibri"/>
          <w:b/>
          <w:bCs/>
          <w:iCs/>
        </w:rPr>
        <w:t>4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FA4E00" w:rsidRPr="00FA4E00">
        <w:rPr>
          <w:rFonts w:ascii="Calibri" w:hAnsi="Calibri" w:cs="Calibri"/>
          <w:b/>
          <w:bCs/>
          <w:iCs/>
        </w:rPr>
        <w:t>1</w:t>
      </w:r>
      <w:r w:rsidR="003033D4">
        <w:rPr>
          <w:rFonts w:ascii="Calibri" w:hAnsi="Calibri" w:cs="Calibri"/>
          <w:b/>
          <w:bCs/>
          <w:iCs/>
        </w:rPr>
        <w:t>1</w:t>
      </w:r>
      <w:r w:rsidR="008B72C1" w:rsidRPr="00FA4E00">
        <w:rPr>
          <w:rFonts w:ascii="Calibri" w:hAnsi="Calibri" w:cs="Calibri"/>
          <w:b/>
          <w:bCs/>
          <w:iCs/>
        </w:rPr>
        <w:t>.</w:t>
      </w:r>
      <w:r w:rsidR="008B72C1" w:rsidRPr="008B72C1">
        <w:rPr>
          <w:rFonts w:ascii="Calibri" w:hAnsi="Calibri" w:cs="Calibri"/>
          <w:b/>
          <w:bCs/>
          <w:iCs/>
        </w:rPr>
        <w:t>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5B74F8CF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521835">
        <w:rPr>
          <w:rFonts w:ascii="Calibri" w:eastAsia="Times New Roman" w:hAnsi="Calibri" w:cs="Calibri"/>
          <w:b/>
          <w:bCs/>
        </w:rPr>
        <w:t>04</w:t>
      </w:r>
      <w:r w:rsidR="00047851">
        <w:rPr>
          <w:rFonts w:ascii="Calibri" w:eastAsia="Times New Roman" w:hAnsi="Calibri" w:cs="Calibri"/>
          <w:b/>
          <w:bCs/>
        </w:rPr>
        <w:t> </w:t>
      </w:r>
      <w:r w:rsidR="00521835">
        <w:rPr>
          <w:rFonts w:ascii="Calibri" w:eastAsia="Times New Roman" w:hAnsi="Calibri" w:cs="Calibri"/>
          <w:b/>
          <w:bCs/>
        </w:rPr>
        <w:t>listopada</w:t>
      </w:r>
      <w:r w:rsidR="008B72C1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521835">
        <w:rPr>
          <w:rFonts w:ascii="Calibri" w:eastAsia="Times New Roman" w:hAnsi="Calibri" w:cs="Calibri"/>
          <w:b/>
          <w:bCs/>
        </w:rPr>
        <w:t>4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lastRenderedPageBreak/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5F31FF65" w14:textId="77777777" w:rsidR="00461751" w:rsidRPr="00B96A68" w:rsidRDefault="00461751" w:rsidP="00461751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4D3C3B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BE4616" w:rsidRPr="004F768F">
        <w:t>Dz. U. z 2024 r. poz. 1145</w:t>
      </w:r>
      <w:r w:rsidRPr="009D6C17">
        <w:rPr>
          <w:rFonts w:ascii="Calibri" w:hAnsi="Calibri" w:cs="Calibri"/>
          <w:iCs/>
        </w:rPr>
        <w:t>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40689F1D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6C764F">
        <w:rPr>
          <w:rFonts w:ascii="Calibri" w:hAnsi="Calibri" w:cs="Calibri"/>
          <w:iCs/>
        </w:rPr>
        <w:t>17</w:t>
      </w:r>
      <w:r w:rsidR="0047555A">
        <w:rPr>
          <w:rFonts w:ascii="Calibri" w:hAnsi="Calibri" w:cs="Calibri"/>
          <w:iCs/>
        </w:rPr>
        <w:t xml:space="preserve"> </w:t>
      </w:r>
      <w:r w:rsidR="00BE4616">
        <w:rPr>
          <w:rFonts w:ascii="Calibri" w:hAnsi="Calibri" w:cs="Calibri"/>
          <w:iCs/>
        </w:rPr>
        <w:t xml:space="preserve">października </w:t>
      </w:r>
      <w:r w:rsidRPr="009D6C17">
        <w:rPr>
          <w:rFonts w:ascii="Calibri" w:hAnsi="Calibri" w:cs="Calibri"/>
          <w:iCs/>
        </w:rPr>
        <w:t>202</w:t>
      </w:r>
      <w:r w:rsidR="00BE4616">
        <w:rPr>
          <w:rFonts w:ascii="Calibri" w:hAnsi="Calibri" w:cs="Calibri"/>
          <w:iCs/>
        </w:rPr>
        <w:t>4</w:t>
      </w:r>
      <w:r w:rsidRPr="009D6C17">
        <w:rPr>
          <w:rFonts w:ascii="Calibri" w:hAnsi="Calibri" w:cs="Calibri"/>
          <w:iCs/>
        </w:rPr>
        <w:t xml:space="preserve"> r.</w:t>
      </w:r>
    </w:p>
    <w:p w14:paraId="5BF548BE" w14:textId="794F4BEB" w:rsidR="006051EA" w:rsidRPr="006C764F" w:rsidRDefault="00152FF9" w:rsidP="00FA4E00">
      <w:pPr>
        <w:pStyle w:val="Akapitzlist"/>
        <w:tabs>
          <w:tab w:val="right" w:pos="8931"/>
        </w:tabs>
        <w:spacing w:before="240"/>
        <w:ind w:left="0"/>
        <w:contextualSpacing w:val="0"/>
        <w:rPr>
          <w:rFonts w:cs="Calibri"/>
        </w:rPr>
      </w:pPr>
      <w:r w:rsidRPr="006C764F">
        <w:rPr>
          <w:rFonts w:cs="Calibri"/>
        </w:rPr>
        <w:tab/>
        <w:t>/</w:t>
      </w:r>
      <w:r w:rsidR="006C764F" w:rsidRPr="00155354">
        <w:rPr>
          <w:rFonts w:cs="Calibri"/>
        </w:rPr>
        <w:t>Z up. Wójta Anna Zawiślak -  Zastępca Wójta</w:t>
      </w:r>
      <w:r w:rsidRPr="006C764F">
        <w:rPr>
          <w:rFonts w:cs="Calibri"/>
        </w:rPr>
        <w:t>/</w:t>
      </w:r>
      <w:r w:rsidR="006051EA" w:rsidRPr="006C764F">
        <w:rPr>
          <w:sz w:val="26"/>
          <w:szCs w:val="26"/>
        </w:rPr>
        <w:br w:type="page"/>
      </w:r>
    </w:p>
    <w:p w14:paraId="0D52E502" w14:textId="3B57BADD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5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6C764F">
        <w:rPr>
          <w:sz w:val="26"/>
          <w:szCs w:val="26"/>
        </w:rPr>
        <w:t>478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BE4616">
        <w:rPr>
          <w:sz w:val="26"/>
          <w:szCs w:val="26"/>
        </w:rPr>
        <w:t>4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6C764F">
        <w:rPr>
          <w:sz w:val="26"/>
          <w:szCs w:val="26"/>
        </w:rPr>
        <w:t xml:space="preserve">17 </w:t>
      </w:r>
      <w:r w:rsidR="00D36A05">
        <w:rPr>
          <w:sz w:val="26"/>
          <w:szCs w:val="26"/>
        </w:rPr>
        <w:t>października</w:t>
      </w:r>
      <w:r w:rsidRPr="003F3840">
        <w:rPr>
          <w:sz w:val="26"/>
          <w:szCs w:val="26"/>
        </w:rPr>
        <w:t xml:space="preserve"> 202</w:t>
      </w:r>
      <w:r w:rsidR="00BE4616">
        <w:rPr>
          <w:sz w:val="26"/>
          <w:szCs w:val="26"/>
        </w:rPr>
        <w:t>4</w:t>
      </w:r>
      <w:r w:rsidRPr="003F3840">
        <w:rPr>
          <w:sz w:val="26"/>
          <w:szCs w:val="26"/>
        </w:rPr>
        <w:t xml:space="preserve"> r.</w:t>
      </w:r>
    </w:p>
    <w:bookmarkEnd w:id="5"/>
    <w:p w14:paraId="1A49086B" w14:textId="67EF2F90" w:rsidR="00353647" w:rsidRDefault="00E7448D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E7448D">
        <w:rPr>
          <w:noProof/>
          <w:sz w:val="26"/>
          <w:szCs w:val="26"/>
        </w:rPr>
        <w:drawing>
          <wp:inline distT="0" distB="0" distL="0" distR="0" wp14:anchorId="5E009D2C" wp14:editId="40630ED2">
            <wp:extent cx="5760720" cy="7108190"/>
            <wp:effectExtent l="0" t="0" r="0" b="0"/>
            <wp:docPr id="862783995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83995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0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08D2803A" w:rsidR="00804A92" w:rsidRPr="006C764F" w:rsidRDefault="00152FF9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6C764F">
        <w:rPr>
          <w:rFonts w:cs="Calibri"/>
        </w:rPr>
        <w:tab/>
        <w:t>/</w:t>
      </w:r>
      <w:r w:rsidR="006C764F" w:rsidRPr="00155354">
        <w:rPr>
          <w:rFonts w:cs="Calibri"/>
        </w:rPr>
        <w:t>Z up. Wójta Anna Zawiślak -  Zastępca Wójta</w:t>
      </w:r>
      <w:r w:rsidRPr="006C764F">
        <w:rPr>
          <w:rFonts w:cs="Calibri"/>
        </w:rPr>
        <w:t>/</w:t>
      </w:r>
    </w:p>
    <w:sectPr w:rsidR="00804A92" w:rsidRPr="006C764F" w:rsidSect="00FA4E0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1943758744">
    <w:abstractNumId w:val="3"/>
  </w:num>
  <w:num w:numId="20" w16cid:durableId="808866754">
    <w:abstractNumId w:val="7"/>
  </w:num>
  <w:num w:numId="21" w16cid:durableId="154405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47851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B004E"/>
    <w:rsid w:val="002B0391"/>
    <w:rsid w:val="002B6ABE"/>
    <w:rsid w:val="002F3A0B"/>
    <w:rsid w:val="002F62FD"/>
    <w:rsid w:val="003033D4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30DBC"/>
    <w:rsid w:val="00456D45"/>
    <w:rsid w:val="00461751"/>
    <w:rsid w:val="0047555A"/>
    <w:rsid w:val="00483E09"/>
    <w:rsid w:val="0048559D"/>
    <w:rsid w:val="004B5DE8"/>
    <w:rsid w:val="004C532C"/>
    <w:rsid w:val="004F4C96"/>
    <w:rsid w:val="004F768F"/>
    <w:rsid w:val="005034E1"/>
    <w:rsid w:val="005058F9"/>
    <w:rsid w:val="00521835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5F698F"/>
    <w:rsid w:val="006051EA"/>
    <w:rsid w:val="00616427"/>
    <w:rsid w:val="006544D5"/>
    <w:rsid w:val="00663799"/>
    <w:rsid w:val="0066667C"/>
    <w:rsid w:val="006775F1"/>
    <w:rsid w:val="00691CA9"/>
    <w:rsid w:val="006A5D52"/>
    <w:rsid w:val="006B074D"/>
    <w:rsid w:val="006B2912"/>
    <w:rsid w:val="006C764F"/>
    <w:rsid w:val="006C7FC0"/>
    <w:rsid w:val="006D6AE2"/>
    <w:rsid w:val="006E0685"/>
    <w:rsid w:val="006E427D"/>
    <w:rsid w:val="007057E1"/>
    <w:rsid w:val="00712F57"/>
    <w:rsid w:val="007244F1"/>
    <w:rsid w:val="007250D9"/>
    <w:rsid w:val="00730EEE"/>
    <w:rsid w:val="00733C3C"/>
    <w:rsid w:val="00736D1D"/>
    <w:rsid w:val="0074300A"/>
    <w:rsid w:val="007443EF"/>
    <w:rsid w:val="00746DC1"/>
    <w:rsid w:val="0077037E"/>
    <w:rsid w:val="00775EA0"/>
    <w:rsid w:val="007A2D3A"/>
    <w:rsid w:val="007A55E7"/>
    <w:rsid w:val="007B035A"/>
    <w:rsid w:val="007D2258"/>
    <w:rsid w:val="007F7D8B"/>
    <w:rsid w:val="00804A92"/>
    <w:rsid w:val="00811C0D"/>
    <w:rsid w:val="008167C1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7766A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4616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258CF"/>
    <w:rsid w:val="00D26F94"/>
    <w:rsid w:val="00D3271C"/>
    <w:rsid w:val="00D36A05"/>
    <w:rsid w:val="00D55419"/>
    <w:rsid w:val="00D77178"/>
    <w:rsid w:val="00D86C0C"/>
    <w:rsid w:val="00D97EAE"/>
    <w:rsid w:val="00DF31E8"/>
    <w:rsid w:val="00E040D0"/>
    <w:rsid w:val="00E04EB9"/>
    <w:rsid w:val="00E26CDE"/>
    <w:rsid w:val="00E27AE9"/>
    <w:rsid w:val="00E42047"/>
    <w:rsid w:val="00E65535"/>
    <w:rsid w:val="00E7448D"/>
    <w:rsid w:val="00E8407C"/>
    <w:rsid w:val="00EA7980"/>
    <w:rsid w:val="00EB77BC"/>
    <w:rsid w:val="00EE1935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A4E00"/>
    <w:rsid w:val="00FB28A6"/>
    <w:rsid w:val="00FB2FFF"/>
    <w:rsid w:val="00FB53BE"/>
    <w:rsid w:val="00FD071D"/>
    <w:rsid w:val="00FD312A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2024-10-16T10:58:00Z</cp:lastPrinted>
  <dcterms:created xsi:type="dcterms:W3CDTF">2024-10-17T06:47:00Z</dcterms:created>
  <dcterms:modified xsi:type="dcterms:W3CDTF">2024-10-17T06:47:00Z</dcterms:modified>
</cp:coreProperties>
</file>